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3" w:type="dxa"/>
        <w:tblInd w:w="108" w:type="dxa"/>
        <w:tblLook w:val="01E0" w:firstRow="1" w:lastRow="1" w:firstColumn="1" w:lastColumn="1" w:noHBand="0" w:noVBand="0"/>
      </w:tblPr>
      <w:tblGrid>
        <w:gridCol w:w="4275"/>
        <w:gridCol w:w="5358"/>
      </w:tblGrid>
      <w:tr w:rsidR="0048540D" w:rsidRPr="006A0A1A" w14:paraId="0EFCEE7B" w14:textId="77777777">
        <w:tc>
          <w:tcPr>
            <w:tcW w:w="4275" w:type="dxa"/>
            <w:shd w:val="clear" w:color="auto" w:fill="auto"/>
          </w:tcPr>
          <w:p w14:paraId="71CB826B" w14:textId="77777777" w:rsidR="0048540D" w:rsidRPr="006A0A1A" w:rsidRDefault="0048540D" w:rsidP="00B6464F">
            <w:pPr>
              <w:jc w:val="center"/>
              <w:rPr>
                <w:b/>
                <w:sz w:val="28"/>
                <w:szCs w:val="28"/>
              </w:rPr>
            </w:pPr>
            <w:r w:rsidRPr="006A0A1A">
              <w:rPr>
                <w:b/>
                <w:sz w:val="28"/>
                <w:szCs w:val="28"/>
              </w:rPr>
              <w:t>TỈNH ỦY HẬU GIANG</w:t>
            </w:r>
          </w:p>
          <w:p w14:paraId="27572554" w14:textId="77777777" w:rsidR="0048540D" w:rsidRPr="006A0A1A" w:rsidRDefault="0048540D" w:rsidP="00B6464F">
            <w:pPr>
              <w:jc w:val="center"/>
              <w:rPr>
                <w:sz w:val="28"/>
                <w:szCs w:val="28"/>
              </w:rPr>
            </w:pPr>
            <w:r w:rsidRPr="006A0A1A">
              <w:rPr>
                <w:sz w:val="28"/>
                <w:szCs w:val="28"/>
              </w:rPr>
              <w:t>*</w:t>
            </w:r>
          </w:p>
          <w:p w14:paraId="553FD511" w14:textId="77777777" w:rsidR="0048540D" w:rsidRPr="006A0A1A" w:rsidRDefault="0048540D" w:rsidP="00B6464F">
            <w:pPr>
              <w:jc w:val="center"/>
              <w:rPr>
                <w:i/>
                <w:sz w:val="28"/>
                <w:szCs w:val="28"/>
              </w:rPr>
            </w:pPr>
            <w:r w:rsidRPr="006A0A1A">
              <w:rPr>
                <w:sz w:val="28"/>
                <w:szCs w:val="28"/>
              </w:rPr>
              <w:t>Số       -BC/TU</w:t>
            </w:r>
          </w:p>
        </w:tc>
        <w:tc>
          <w:tcPr>
            <w:tcW w:w="5358" w:type="dxa"/>
            <w:shd w:val="clear" w:color="auto" w:fill="auto"/>
          </w:tcPr>
          <w:p w14:paraId="0CDDC6F1" w14:textId="40DA7DC6" w:rsidR="0048540D" w:rsidRPr="006A0A1A" w:rsidRDefault="00AA5C05" w:rsidP="00B6464F">
            <w:pPr>
              <w:jc w:val="center"/>
              <w:rPr>
                <w:b/>
                <w:sz w:val="30"/>
                <w:szCs w:val="30"/>
              </w:rPr>
            </w:pPr>
            <w:r>
              <w:rPr>
                <w:b/>
                <w:noProof/>
                <w:sz w:val="30"/>
                <w:szCs w:val="30"/>
              </w:rPr>
              <mc:AlternateContent>
                <mc:Choice Requires="wps">
                  <w:drawing>
                    <wp:anchor distT="0" distB="0" distL="114300" distR="114300" simplePos="0" relativeHeight="251658240" behindDoc="0" locked="0" layoutInCell="1" allowOverlap="1" wp14:anchorId="168EF269" wp14:editId="10F5CD87">
                      <wp:simplePos x="0" y="0"/>
                      <wp:positionH relativeFrom="column">
                        <wp:posOffset>148590</wp:posOffset>
                      </wp:positionH>
                      <wp:positionV relativeFrom="paragraph">
                        <wp:posOffset>-342900</wp:posOffset>
                      </wp:positionV>
                      <wp:extent cx="253365" cy="228600"/>
                      <wp:effectExtent l="3175" t="0" r="635" b="3810"/>
                      <wp:wrapNone/>
                      <wp:docPr id="8083370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47AA4" w14:textId="77777777" w:rsidR="001A0C65" w:rsidRDefault="001A0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EF269" id="_x0000_t202" coordsize="21600,21600" o:spt="202" path="m,l,21600r21600,l21600,xe">
                      <v:stroke joinstyle="miter"/>
                      <v:path gradientshapeok="t" o:connecttype="rect"/>
                    </v:shapetype>
                    <v:shape id="Text Box 10" o:spid="_x0000_s1026" type="#_x0000_t202" style="position:absolute;left:0;text-align:left;margin-left:11.7pt;margin-top:-27pt;width:19.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bp8wEAAMkDAAAOAAAAZHJzL2Uyb0RvYy54bWysU1Fv0zAQfkfiP1h+p2mztoy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" stroked="f">
                      <v:textbox>
                        <w:txbxContent>
                          <w:p w14:paraId="6BA47AA4" w14:textId="77777777" w:rsidR="001A0C65" w:rsidRDefault="001A0C65"/>
                        </w:txbxContent>
                      </v:textbox>
                    </v:shape>
                  </w:pict>
                </mc:Fallback>
              </mc:AlternateContent>
            </w:r>
            <w:r w:rsidR="0048540D" w:rsidRPr="006A0A1A">
              <w:rPr>
                <w:b/>
                <w:sz w:val="30"/>
                <w:szCs w:val="30"/>
              </w:rPr>
              <w:t>ĐẢNG CỘNG SẢN VIỆT NAM</w:t>
            </w:r>
          </w:p>
          <w:p w14:paraId="3325D641" w14:textId="49A533ED" w:rsidR="0048540D" w:rsidRPr="006A0A1A" w:rsidRDefault="00AA5C05" w:rsidP="00B6464F">
            <w:pPr>
              <w:jc w:val="center"/>
              <w:rPr>
                <w:i/>
                <w:sz w:val="28"/>
                <w:szCs w:val="28"/>
              </w:rPr>
            </w:pPr>
            <w:r w:rsidRPr="006A0A1A">
              <w:rPr>
                <w:noProof/>
                <w:sz w:val="28"/>
                <w:szCs w:val="28"/>
              </w:rPr>
              <mc:AlternateContent>
                <mc:Choice Requires="wps">
                  <w:drawing>
                    <wp:anchor distT="0" distB="0" distL="114300" distR="114300" simplePos="0" relativeHeight="251657216" behindDoc="0" locked="0" layoutInCell="1" allowOverlap="1" wp14:anchorId="04F65FC5" wp14:editId="7EE59C2C">
                      <wp:simplePos x="0" y="0"/>
                      <wp:positionH relativeFrom="column">
                        <wp:posOffset>355600</wp:posOffset>
                      </wp:positionH>
                      <wp:positionV relativeFrom="paragraph">
                        <wp:posOffset>4445</wp:posOffset>
                      </wp:positionV>
                      <wp:extent cx="2581275" cy="0"/>
                      <wp:effectExtent l="10160" t="10160" r="8890" b="8890"/>
                      <wp:wrapNone/>
                      <wp:docPr id="14445590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51F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35pt" to="23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"/>
                  </w:pict>
                </mc:Fallback>
              </mc:AlternateContent>
            </w:r>
          </w:p>
          <w:p w14:paraId="4D995920" w14:textId="77777777" w:rsidR="0048540D" w:rsidRPr="006A0A1A" w:rsidRDefault="0048540D" w:rsidP="00B6464F">
            <w:pPr>
              <w:jc w:val="center"/>
              <w:rPr>
                <w:i/>
                <w:sz w:val="28"/>
                <w:szCs w:val="28"/>
              </w:rPr>
            </w:pPr>
            <w:r w:rsidRPr="006A0A1A">
              <w:rPr>
                <w:i/>
                <w:sz w:val="28"/>
                <w:szCs w:val="28"/>
              </w:rPr>
              <w:t>Hậu Giang, ngày     tháng      năm 2024</w:t>
            </w:r>
          </w:p>
        </w:tc>
      </w:tr>
    </w:tbl>
    <w:p w14:paraId="18558D99" w14:textId="77777777" w:rsidR="0048540D" w:rsidRPr="006A0A1A" w:rsidRDefault="0048540D" w:rsidP="0048540D">
      <w:pPr>
        <w:jc w:val="center"/>
        <w:rPr>
          <w:b/>
          <w:sz w:val="28"/>
          <w:szCs w:val="28"/>
        </w:rPr>
      </w:pPr>
    </w:p>
    <w:p w14:paraId="2525E0CE" w14:textId="77777777" w:rsidR="0048540D" w:rsidRPr="006A0A1A" w:rsidRDefault="0048540D" w:rsidP="0048540D">
      <w:pPr>
        <w:jc w:val="center"/>
        <w:rPr>
          <w:b/>
          <w:sz w:val="28"/>
          <w:szCs w:val="28"/>
        </w:rPr>
      </w:pPr>
      <w:r w:rsidRPr="006A0A1A">
        <w:rPr>
          <w:b/>
          <w:sz w:val="28"/>
          <w:szCs w:val="28"/>
        </w:rPr>
        <w:t>BÁO CÁO</w:t>
      </w:r>
    </w:p>
    <w:p w14:paraId="392DF77C" w14:textId="77777777" w:rsidR="0048540D" w:rsidRPr="006A0A1A" w:rsidRDefault="0048540D" w:rsidP="0048540D">
      <w:pPr>
        <w:spacing w:line="264" w:lineRule="auto"/>
        <w:jc w:val="center"/>
        <w:rPr>
          <w:b/>
          <w:sz w:val="28"/>
          <w:szCs w:val="28"/>
        </w:rPr>
      </w:pPr>
      <w:r w:rsidRPr="006A0A1A">
        <w:rPr>
          <w:b/>
          <w:sz w:val="28"/>
          <w:szCs w:val="28"/>
        </w:rPr>
        <w:t xml:space="preserve">Tổng kết 15 năm thực hiện Thông báo số 292-TB/TW </w:t>
      </w:r>
    </w:p>
    <w:p w14:paraId="337C0FD0" w14:textId="77777777" w:rsidR="0048540D" w:rsidRPr="006A0A1A" w:rsidRDefault="0048540D" w:rsidP="0048540D">
      <w:pPr>
        <w:spacing w:line="264" w:lineRule="auto"/>
        <w:jc w:val="center"/>
        <w:rPr>
          <w:b/>
          <w:sz w:val="28"/>
          <w:szCs w:val="28"/>
        </w:rPr>
      </w:pPr>
      <w:r w:rsidRPr="006A0A1A">
        <w:rPr>
          <w:b/>
          <w:sz w:val="28"/>
          <w:szCs w:val="28"/>
        </w:rPr>
        <w:t xml:space="preserve">của Ban Bí thư Trung ương Đảng (khóa X) về việc giải quyết hậu quả </w:t>
      </w:r>
    </w:p>
    <w:p w14:paraId="39776825" w14:textId="77777777" w:rsidR="0048540D" w:rsidRPr="006A0A1A" w:rsidRDefault="0048540D" w:rsidP="0048540D">
      <w:pPr>
        <w:spacing w:line="264" w:lineRule="auto"/>
        <w:jc w:val="center"/>
        <w:rPr>
          <w:b/>
          <w:sz w:val="28"/>
          <w:szCs w:val="28"/>
        </w:rPr>
      </w:pPr>
      <w:r w:rsidRPr="006A0A1A">
        <w:rPr>
          <w:b/>
          <w:sz w:val="28"/>
          <w:szCs w:val="28"/>
        </w:rPr>
        <w:t xml:space="preserve">chất độc hóa học do Mỹ tiến hành trong cuộc chiến tranh ở Việt Nam </w:t>
      </w:r>
    </w:p>
    <w:p w14:paraId="34E31528" w14:textId="77777777" w:rsidR="0048540D" w:rsidRDefault="0048540D" w:rsidP="0048540D">
      <w:pPr>
        <w:spacing w:line="264" w:lineRule="auto"/>
        <w:jc w:val="center"/>
        <w:rPr>
          <w:b/>
          <w:sz w:val="28"/>
          <w:szCs w:val="28"/>
        </w:rPr>
      </w:pPr>
      <w:r w:rsidRPr="006A0A1A">
        <w:rPr>
          <w:b/>
          <w:sz w:val="28"/>
          <w:szCs w:val="28"/>
        </w:rPr>
        <w:t>và công tác chăm sóc, giúp đỡ nạn nhân chất độc da cam/dioxin Việt Nam</w:t>
      </w:r>
    </w:p>
    <w:p w14:paraId="61B617F5" w14:textId="10D2DB37" w:rsidR="0061782C" w:rsidRPr="0061782C" w:rsidRDefault="0061782C" w:rsidP="0048540D">
      <w:pPr>
        <w:spacing w:line="264" w:lineRule="auto"/>
        <w:jc w:val="center"/>
        <w:rPr>
          <w:bCs/>
          <w:sz w:val="28"/>
          <w:szCs w:val="28"/>
        </w:rPr>
      </w:pPr>
      <w:r w:rsidRPr="0061782C">
        <w:rPr>
          <w:bCs/>
          <w:sz w:val="28"/>
          <w:szCs w:val="28"/>
        </w:rPr>
        <w:t>-----</w:t>
      </w:r>
    </w:p>
    <w:p w14:paraId="10C8119D" w14:textId="77777777" w:rsidR="0048540D" w:rsidRPr="006A0A1A" w:rsidRDefault="0048540D" w:rsidP="0048540D">
      <w:pPr>
        <w:jc w:val="both"/>
        <w:rPr>
          <w:b/>
          <w:sz w:val="28"/>
          <w:szCs w:val="28"/>
        </w:rPr>
      </w:pPr>
    </w:p>
    <w:p w14:paraId="66587CB7" w14:textId="77777777" w:rsidR="0048540D" w:rsidRPr="006A0A1A" w:rsidRDefault="0048540D" w:rsidP="0048540D">
      <w:pPr>
        <w:spacing w:line="264" w:lineRule="auto"/>
        <w:jc w:val="center"/>
        <w:rPr>
          <w:b/>
          <w:sz w:val="28"/>
          <w:szCs w:val="28"/>
        </w:rPr>
      </w:pPr>
      <w:r w:rsidRPr="006A0A1A">
        <w:rPr>
          <w:b/>
          <w:sz w:val="28"/>
          <w:szCs w:val="28"/>
        </w:rPr>
        <w:t>PHẦN THỨ NHẤT</w:t>
      </w:r>
    </w:p>
    <w:p w14:paraId="6BB559A9" w14:textId="77777777" w:rsidR="0048540D" w:rsidRPr="006A0A1A" w:rsidRDefault="0048540D" w:rsidP="0048540D">
      <w:pPr>
        <w:spacing w:line="264" w:lineRule="auto"/>
        <w:jc w:val="center"/>
        <w:rPr>
          <w:b/>
          <w:sz w:val="28"/>
          <w:szCs w:val="28"/>
        </w:rPr>
      </w:pPr>
      <w:r w:rsidRPr="006A0A1A">
        <w:rPr>
          <w:b/>
          <w:sz w:val="28"/>
          <w:szCs w:val="28"/>
        </w:rPr>
        <w:t xml:space="preserve">Kết quả thực hiện Thông báo Kết luận số 292-TB/TW </w:t>
      </w:r>
    </w:p>
    <w:p w14:paraId="273D98CA" w14:textId="77777777" w:rsidR="0048540D" w:rsidRPr="006A0A1A" w:rsidRDefault="0048540D" w:rsidP="0048540D">
      <w:pPr>
        <w:spacing w:line="264" w:lineRule="auto"/>
        <w:jc w:val="center"/>
        <w:rPr>
          <w:b/>
          <w:sz w:val="28"/>
          <w:szCs w:val="28"/>
        </w:rPr>
      </w:pPr>
    </w:p>
    <w:p w14:paraId="011B428C" w14:textId="77777777" w:rsidR="0048540D" w:rsidRPr="006A0A1A" w:rsidRDefault="0048540D" w:rsidP="0061782C">
      <w:pPr>
        <w:spacing w:before="120" w:line="360" w:lineRule="exact"/>
        <w:ind w:firstLine="567"/>
        <w:jc w:val="both"/>
        <w:rPr>
          <w:sz w:val="28"/>
          <w:szCs w:val="28"/>
        </w:rPr>
      </w:pPr>
      <w:r w:rsidRPr="006A0A1A">
        <w:rPr>
          <w:sz w:val="28"/>
          <w:szCs w:val="28"/>
        </w:rPr>
        <w:t>Thực hiện Kế hoạch số 266-KH/TU, ngày 17/4/2024 của Ban Thường vụ Tỉnh ủy tổng kết 15 năm thực hiện Thông báo số 292-TB/TW, ngày</w:t>
      </w:r>
      <w:r>
        <w:rPr>
          <w:sz w:val="28"/>
          <w:szCs w:val="28"/>
        </w:rPr>
        <w:t xml:space="preserve"> </w:t>
      </w:r>
      <w:r w:rsidRPr="006A0A1A">
        <w:rPr>
          <w:sz w:val="28"/>
          <w:szCs w:val="28"/>
        </w:rPr>
        <w:t xml:space="preserve">18/12/2009 của Ban Bí thư Trung ương Đảng (khóa X) “Về việc giải quyết hậu quả chất độc hóa học do Mỹ tiến hành trong cuộc chiến tranh ở Việt Nam và công tác chăm sóc, giúp đỡ nạn nhân chất độc da cam/dioxin Việt Nam” (Thông báo số 292-TB/TW). Ban Thường vụ Tỉnh ủy báo cáo kết quả 15 năm thực hiện Thông báo </w:t>
      </w:r>
      <w:r>
        <w:rPr>
          <w:sz w:val="28"/>
          <w:szCs w:val="28"/>
        </w:rPr>
        <w:t xml:space="preserve">số </w:t>
      </w:r>
      <w:r w:rsidRPr="006A0A1A">
        <w:rPr>
          <w:sz w:val="28"/>
          <w:szCs w:val="28"/>
        </w:rPr>
        <w:t>292-TB/TW trên địa bàn tỉnh như sau:</w:t>
      </w:r>
    </w:p>
    <w:p w14:paraId="0DD49B14" w14:textId="77777777" w:rsidR="0048540D" w:rsidRPr="006A0A1A" w:rsidRDefault="0048540D" w:rsidP="0061782C">
      <w:pPr>
        <w:spacing w:before="120" w:line="360" w:lineRule="exact"/>
        <w:ind w:firstLine="567"/>
        <w:jc w:val="both"/>
        <w:rPr>
          <w:b/>
          <w:sz w:val="28"/>
          <w:szCs w:val="28"/>
        </w:rPr>
      </w:pPr>
      <w:r w:rsidRPr="006A0A1A">
        <w:rPr>
          <w:b/>
          <w:sz w:val="28"/>
          <w:szCs w:val="28"/>
        </w:rPr>
        <w:t>I. ĐẶC ĐIỂM TÌNH HÌNH</w:t>
      </w:r>
    </w:p>
    <w:p w14:paraId="304DF3CF" w14:textId="77777777" w:rsidR="0048540D" w:rsidRPr="0061782C" w:rsidRDefault="0048540D" w:rsidP="0061782C">
      <w:pPr>
        <w:spacing w:before="120" w:line="360" w:lineRule="exact"/>
        <w:ind w:firstLine="567"/>
        <w:jc w:val="both"/>
        <w:rPr>
          <w:rStyle w:val="noidunggioithieu1"/>
          <w:spacing w:val="-6"/>
          <w:sz w:val="28"/>
          <w:szCs w:val="28"/>
        </w:rPr>
      </w:pPr>
      <w:r w:rsidRPr="0061782C">
        <w:rPr>
          <w:spacing w:val="-6"/>
          <w:sz w:val="28"/>
          <w:szCs w:val="28"/>
        </w:rPr>
        <w:t>Tỉnh Hậu Giang được thành lập và đi vào hoạt động từ ngày 01/01/2004, với diện tích 1.608km</w:t>
      </w:r>
      <w:r w:rsidRPr="0061782C">
        <w:rPr>
          <w:spacing w:val="-6"/>
          <w:sz w:val="28"/>
          <w:szCs w:val="28"/>
          <w:vertAlign w:val="superscript"/>
        </w:rPr>
        <w:t>2</w:t>
      </w:r>
      <w:r w:rsidRPr="0061782C">
        <w:rPr>
          <w:spacing w:val="-6"/>
          <w:sz w:val="28"/>
          <w:szCs w:val="28"/>
        </w:rPr>
        <w:t>, có</w:t>
      </w:r>
      <w:r w:rsidRPr="0061782C">
        <w:rPr>
          <w:spacing w:val="-6"/>
          <w:sz w:val="28"/>
          <w:szCs w:val="28"/>
          <w:lang w:val="vi-VN"/>
        </w:rPr>
        <w:t xml:space="preserve"> 02 thành phố, 01 thị xã, 05 huyện, 75 xã, phường, thị trấn, dân số </w:t>
      </w:r>
      <w:r w:rsidRPr="0061782C">
        <w:rPr>
          <w:spacing w:val="-6"/>
          <w:sz w:val="28"/>
          <w:szCs w:val="28"/>
          <w:lang w:val="af-ZA"/>
        </w:rPr>
        <w:t xml:space="preserve">729.888 </w:t>
      </w:r>
      <w:r w:rsidRPr="0061782C">
        <w:rPr>
          <w:spacing w:val="-6"/>
          <w:sz w:val="28"/>
          <w:szCs w:val="28"/>
          <w:lang w:val="vi-VN"/>
        </w:rPr>
        <w:t>người</w:t>
      </w:r>
      <w:r w:rsidRPr="0061782C">
        <w:rPr>
          <w:spacing w:val="-6"/>
          <w:sz w:val="28"/>
          <w:szCs w:val="28"/>
          <w:shd w:val="clear" w:color="auto" w:fill="FFFFFF"/>
          <w:lang w:val="vi-VN"/>
        </w:rPr>
        <w:t xml:space="preserve">; </w:t>
      </w:r>
      <w:r w:rsidRPr="0061782C">
        <w:rPr>
          <w:spacing w:val="-6"/>
          <w:sz w:val="28"/>
          <w:szCs w:val="28"/>
          <w:shd w:val="clear" w:color="auto" w:fill="FFFFFF"/>
        </w:rPr>
        <w:t>t</w:t>
      </w:r>
      <w:r w:rsidRPr="0061782C">
        <w:rPr>
          <w:spacing w:val="-6"/>
          <w:sz w:val="28"/>
          <w:szCs w:val="28"/>
          <w:lang w:val="vi-VN"/>
        </w:rPr>
        <w:t>ình hình kinh tế - xã hội của tỉnh trong những năm qua ổn định và phát triển</w:t>
      </w:r>
      <w:r w:rsidRPr="0061782C">
        <w:rPr>
          <w:rStyle w:val="noidunggioithieu1"/>
          <w:spacing w:val="-6"/>
          <w:sz w:val="28"/>
          <w:szCs w:val="28"/>
        </w:rPr>
        <w:t xml:space="preserve">. </w:t>
      </w:r>
    </w:p>
    <w:p w14:paraId="398F0B41" w14:textId="77777777" w:rsidR="0048540D" w:rsidRPr="006A0A1A" w:rsidRDefault="0048540D" w:rsidP="0061782C">
      <w:pPr>
        <w:spacing w:before="120" w:line="360" w:lineRule="exact"/>
        <w:ind w:firstLine="567"/>
        <w:jc w:val="both"/>
        <w:rPr>
          <w:rStyle w:val="noidunggioithieu1"/>
          <w:spacing w:val="-2"/>
          <w:sz w:val="28"/>
          <w:szCs w:val="28"/>
        </w:rPr>
      </w:pPr>
      <w:r w:rsidRPr="006A0A1A">
        <w:rPr>
          <w:rStyle w:val="noidunggioithieu1"/>
          <w:spacing w:val="-2"/>
          <w:sz w:val="28"/>
          <w:szCs w:val="28"/>
        </w:rPr>
        <w:t>Trong kháng chiến chống Mỹ, Hậu Giang từng là căn cứ Khu ủy khu 9 và căn cứ Tỉnh ủy Cần Thơ, là địa bàn chiến lư</w:t>
      </w:r>
      <w:r w:rsidRPr="006A0A1A">
        <w:rPr>
          <w:sz w:val="28"/>
          <w:szCs w:val="28"/>
        </w:rPr>
        <w:t>ợc</w:t>
      </w:r>
      <w:r w:rsidRPr="006A0A1A">
        <w:t xml:space="preserve"> </w:t>
      </w:r>
      <w:r w:rsidRPr="006A0A1A">
        <w:rPr>
          <w:rStyle w:val="noidunggioithieu1"/>
          <w:spacing w:val="-2"/>
          <w:sz w:val="28"/>
          <w:szCs w:val="28"/>
        </w:rPr>
        <w:t>đặc biệt nối lực lượng cách mạng với cửa ngõ U Minh. Nhằm ngăn chặn lực lượng cách mạng từ cửa ngõ U Minh, siết chặt việc kiểm soát dân chúng, bảo vệ Cần Thơ và 4 chiến thuật nên Mỹ - Ngụy đánh phá quyết liệt, sử dụng thuốc hóa chất để khai hoang hóa địa bàn,… Hậu Giang phải gánh chịu nhiều hậu quả chiến tranh do Mỹ để lại, nhất là tác hại chất độc hóa học đối với môi trường và sức khỏe con người vẫn còn rất nặng nề qua nhiều thế hệ, số người bị nhiễm chất độc hóa học ở khá cao: 8.542 người, trong đó, người trực tiếp nhiễm chất độc hóa học là 3.247 người, kể cả người có công với cách mạng và nhân dân, 4.362 người bị dị tật là con đẻ và 933 người bị dị tật là cháu của các nạn nhân.</w:t>
      </w:r>
    </w:p>
    <w:p w14:paraId="3FAF7D8A" w14:textId="77777777" w:rsidR="0048540D" w:rsidRPr="006A0A1A" w:rsidRDefault="0048540D" w:rsidP="0061782C">
      <w:pPr>
        <w:spacing w:before="120" w:line="360" w:lineRule="exact"/>
        <w:ind w:firstLine="567"/>
        <w:jc w:val="both"/>
        <w:rPr>
          <w:rStyle w:val="noidunggioithieu1"/>
          <w:i/>
          <w:spacing w:val="-2"/>
          <w:sz w:val="28"/>
          <w:szCs w:val="28"/>
        </w:rPr>
      </w:pPr>
      <w:r w:rsidRPr="006A0A1A">
        <w:rPr>
          <w:rStyle w:val="noidunggioithieu1"/>
          <w:spacing w:val="-2"/>
          <w:sz w:val="28"/>
          <w:szCs w:val="28"/>
        </w:rPr>
        <w:t>Trong những năm qua Tỉnh ủy, Ủy ban nhân dân tỉnh quan tâm lãnh đạo, chỉ đạo các ban, ngành, Mặt trận Tổ quốc, các đoàn thể chính trị - xã hội và các hội quần chúng thường xuyên phối hợp giải quyết tốt các chế độ chính sách đối với người tham gia kháng chiến và các nạn nhân chất độc da cam; thực hiện đầy đủ, kịp thời các chính sách đối với người có công với cách mạng, trong đó có người trực tiếp tham gia kháng chiến bị nhiễm chất độc da cam/dioxin trên địa bàn tỉnh.</w:t>
      </w:r>
    </w:p>
    <w:p w14:paraId="4A6FECDA" w14:textId="77777777" w:rsidR="0048540D" w:rsidRPr="006A0A1A" w:rsidRDefault="0048540D" w:rsidP="0061782C">
      <w:pPr>
        <w:spacing w:before="120" w:line="370" w:lineRule="exact"/>
        <w:ind w:firstLine="567"/>
        <w:jc w:val="both"/>
        <w:rPr>
          <w:b/>
          <w:sz w:val="28"/>
          <w:szCs w:val="28"/>
        </w:rPr>
      </w:pPr>
      <w:r w:rsidRPr="006A0A1A">
        <w:rPr>
          <w:b/>
          <w:sz w:val="28"/>
          <w:szCs w:val="28"/>
        </w:rPr>
        <w:lastRenderedPageBreak/>
        <w:t>II. KẾT QUẢ THỰC HIỆN THÔNG BÁO SỐ 292-TB/TW</w:t>
      </w:r>
    </w:p>
    <w:p w14:paraId="42DE393E" w14:textId="77777777" w:rsidR="0048540D" w:rsidRPr="006A0A1A" w:rsidRDefault="0048540D" w:rsidP="0061782C">
      <w:pPr>
        <w:spacing w:before="120" w:line="370" w:lineRule="exact"/>
        <w:ind w:firstLine="567"/>
        <w:jc w:val="both"/>
        <w:rPr>
          <w:sz w:val="28"/>
          <w:szCs w:val="28"/>
        </w:rPr>
      </w:pPr>
      <w:r w:rsidRPr="006A0A1A">
        <w:rPr>
          <w:b/>
          <w:sz w:val="28"/>
          <w:szCs w:val="28"/>
        </w:rPr>
        <w:t xml:space="preserve">1. Đánh giá việc lãnh đạo, chỉ đạo, triển khai thực hiện Thông báo số 292-TB/TW </w:t>
      </w:r>
    </w:p>
    <w:p w14:paraId="6246D564" w14:textId="77777777" w:rsidR="0048540D" w:rsidRPr="006A0A1A" w:rsidRDefault="0048540D" w:rsidP="0061782C">
      <w:pPr>
        <w:spacing w:before="120" w:line="370" w:lineRule="exact"/>
        <w:ind w:firstLine="567"/>
        <w:jc w:val="both"/>
        <w:rPr>
          <w:sz w:val="28"/>
          <w:szCs w:val="28"/>
        </w:rPr>
      </w:pPr>
      <w:r w:rsidRPr="006A0A1A">
        <w:rPr>
          <w:sz w:val="28"/>
          <w:szCs w:val="28"/>
        </w:rPr>
        <w:t xml:space="preserve">Tỉnh ủy ban hành Công văn số 99-CV/TU, ngày 21/4/2011 tổ chức triển khai, quán triệt trong các ban đảng, ban cán sự đảng, đảng đoàn, các huyện, thị, thành ủy, đảng ủy trực thuộc Tỉnh ủy; Thông tri số 02-TT/TU, ngày 03/8/2015 về thực hiện Chỉ thị số 43-CT/TW ngày 14/5/2015 của Ban Bí thư về tăng cường sự lãnh đạo của Đảng đối với công tác giải quyết hậu quả chất độc hóa học do Mỹ sử dụng trong chiến tranh </w:t>
      </w:r>
      <w:r w:rsidRPr="0061782C">
        <w:rPr>
          <w:spacing w:val="-2"/>
          <w:sz w:val="28"/>
          <w:szCs w:val="28"/>
        </w:rPr>
        <w:t>ở Việt Nam; chỉ đạo Mặt trận Tổ quốc, các đoàn thể chính trị - xã hội, các tổ chức xã hội, Hội Nạn nhân chất độc da cam/dioxin tỉnh xây dựng kế hoạch thực hiện Thông báo kết luận số 292-TB/TW và tổ chức tuyên truyền ra đoàn viên, hội viên và nhân dân.</w:t>
      </w:r>
    </w:p>
    <w:p w14:paraId="52753D4F" w14:textId="77777777" w:rsidR="0048540D" w:rsidRPr="006A0A1A" w:rsidRDefault="0048540D" w:rsidP="0061782C">
      <w:pPr>
        <w:spacing w:before="120" w:line="370" w:lineRule="exact"/>
        <w:ind w:firstLine="567"/>
        <w:jc w:val="both"/>
        <w:rPr>
          <w:sz w:val="28"/>
          <w:szCs w:val="28"/>
        </w:rPr>
      </w:pPr>
      <w:r w:rsidRPr="006A0A1A">
        <w:rPr>
          <w:sz w:val="28"/>
          <w:szCs w:val="28"/>
        </w:rPr>
        <w:t>UBND tỉnh ban hành Kế hoạch số 82/KH-UBND, ngày 19/9/2016 hành động khắc phục cơ bản hậu quả chất độc hóa học/dioxin do Mỹ sử dụng trong chiến tranh ở Việt Nam trên địa bàn tỉnh giai đoạn 2016 - 2020; các huyện, thị, thành ủy đều xây dựng văn bản chỉ đạo triển khai thực hiện Thông báo 292-TB/TW.</w:t>
      </w:r>
    </w:p>
    <w:p w14:paraId="76BDF3AF" w14:textId="77777777" w:rsidR="0048540D" w:rsidRPr="006A0A1A" w:rsidRDefault="0048540D" w:rsidP="0061782C">
      <w:pPr>
        <w:spacing w:before="120" w:line="370" w:lineRule="exact"/>
        <w:ind w:firstLine="567"/>
        <w:jc w:val="both"/>
        <w:rPr>
          <w:sz w:val="28"/>
          <w:szCs w:val="28"/>
        </w:rPr>
      </w:pPr>
      <w:r w:rsidRPr="006A0A1A">
        <w:rPr>
          <w:sz w:val="28"/>
          <w:szCs w:val="28"/>
        </w:rPr>
        <w:t xml:space="preserve">Ban Dân vận Tỉnh ủy phối hợp các ngành liên quan theo dõi, nắm tình hình thực hiện Thông báo </w:t>
      </w:r>
      <w:r>
        <w:rPr>
          <w:sz w:val="28"/>
          <w:szCs w:val="28"/>
        </w:rPr>
        <w:t xml:space="preserve">số </w:t>
      </w:r>
      <w:r w:rsidRPr="006A0A1A">
        <w:rPr>
          <w:sz w:val="28"/>
          <w:szCs w:val="28"/>
        </w:rPr>
        <w:t>292-TB/TW; tổ chức 02 cuộc kiểm tra, giám sát đối với tổ chức, hoạt động và việc thực hiện các nhiệm vụ liên quan đến công tác Hội nạn nhân chất độc da cam/dioxin. Qua đó tham mưu Tỉnh ủy, Ủy ban nhân dân tỉnh kịp thời chỉ đạo các ban, ngành, đơn vị, địa phương khắc phục những hạn chế, yếu kém trong quá trình tổ chức thực hiện.</w:t>
      </w:r>
    </w:p>
    <w:p w14:paraId="703A87AB" w14:textId="77777777" w:rsidR="0048540D" w:rsidRPr="006A0A1A" w:rsidRDefault="0048540D" w:rsidP="0061782C">
      <w:pPr>
        <w:spacing w:before="120" w:line="370" w:lineRule="exact"/>
        <w:ind w:firstLine="567"/>
        <w:rPr>
          <w:b/>
          <w:sz w:val="28"/>
          <w:szCs w:val="28"/>
        </w:rPr>
      </w:pPr>
      <w:r w:rsidRPr="006A0A1A">
        <w:rPr>
          <w:b/>
          <w:sz w:val="28"/>
          <w:szCs w:val="28"/>
        </w:rPr>
        <w:t>2. Đánh giá kết quả triển khai thực hiện Thông báo số 292-TB/TW</w:t>
      </w:r>
    </w:p>
    <w:p w14:paraId="10739825" w14:textId="77777777" w:rsidR="0048540D" w:rsidRPr="00294E80" w:rsidRDefault="0048540D" w:rsidP="0061782C">
      <w:pPr>
        <w:spacing w:before="120" w:line="370" w:lineRule="exact"/>
        <w:ind w:firstLine="567"/>
        <w:jc w:val="both"/>
        <w:rPr>
          <w:b/>
          <w:i/>
          <w:sz w:val="28"/>
          <w:szCs w:val="28"/>
        </w:rPr>
      </w:pPr>
      <w:r w:rsidRPr="00294E80">
        <w:rPr>
          <w:b/>
          <w:i/>
          <w:sz w:val="28"/>
          <w:szCs w:val="28"/>
        </w:rPr>
        <w:t>2.1 Chuyển biến về nhận thức và trách nhiệm của cấp ủy đảng, chính quyền, Mặt trận Tổ quốc Việt Nam, các tổ chức chính trị - xã hội, tổ chức xã hội và quần chúng nhân d</w:t>
      </w:r>
      <w:r w:rsidR="00294E80">
        <w:rPr>
          <w:b/>
          <w:i/>
          <w:sz w:val="28"/>
          <w:szCs w:val="28"/>
        </w:rPr>
        <w:t>ân</w:t>
      </w:r>
    </w:p>
    <w:p w14:paraId="3DA08202" w14:textId="77777777" w:rsidR="0048540D" w:rsidRPr="006A0A1A" w:rsidRDefault="0048540D" w:rsidP="0061782C">
      <w:pPr>
        <w:spacing w:before="120" w:line="370" w:lineRule="exact"/>
        <w:ind w:firstLine="567"/>
        <w:jc w:val="both"/>
        <w:rPr>
          <w:sz w:val="28"/>
          <w:szCs w:val="28"/>
        </w:rPr>
      </w:pPr>
      <w:r w:rsidRPr="006A0A1A">
        <w:rPr>
          <w:sz w:val="28"/>
          <w:szCs w:val="28"/>
        </w:rPr>
        <w:t>Qua triển khai quán triệt thực hiện Thông báo số 292-TB/TW, nhận thức của các cấp ủy đảng, chính quyền, Mặt trận Tổ quốc, các đoàn thể chính trị - xã hội, các hội quần chúng và nhân dân có sự chuyển biến tích cực, xác định rõ chức năng, nhiệm vụ, vai trò trách nhiệm của mình đối với công tác chăm sóc, giúp đỡ, bảo vệ quyền lợi cho các nạn nhân chất độc da cam, những người hoạt động kháng chiến và con đẻ của họ bị nhiễm chất độc hóa học do Mỹ tiến hành trong cuộc chiến tranh ở Việt Nam trên địa bàn tỉnh; thực hiện đầy đủ trợ cấp các chế độ chính sách cho các nạn nhân kịp thời, đúng đối tượng; Mặt trận Tổ quốc và các đoàn thể, các ban, ngành phối hợp chặt chẽ với Hội nạn nhân chất độc da cam/dioxin tổ chức nhiều hoạt động thiết thực chăm sóc cho các nạn nhân chất độc da cam. Hàng năm Hội nạn nhân chất độc da cam/dioxin tỉnh phối hợp với Hội Chữ thập đỏ tỉnh phát động tháng hành động vì nạn nhân chất độc da cam/dioxin.</w:t>
      </w:r>
    </w:p>
    <w:p w14:paraId="51A853E7" w14:textId="77777777" w:rsidR="0048540D" w:rsidRPr="00294E80" w:rsidRDefault="0048540D" w:rsidP="0048540D">
      <w:pPr>
        <w:spacing w:before="120" w:line="360" w:lineRule="exact"/>
        <w:ind w:firstLine="567"/>
        <w:jc w:val="both"/>
        <w:rPr>
          <w:b/>
          <w:i/>
          <w:sz w:val="28"/>
          <w:szCs w:val="28"/>
        </w:rPr>
      </w:pPr>
      <w:r w:rsidRPr="00294E80">
        <w:rPr>
          <w:b/>
          <w:i/>
          <w:sz w:val="28"/>
          <w:szCs w:val="28"/>
        </w:rPr>
        <w:t xml:space="preserve">2.2. Việc thực hiện các nhiệm vụ trong Thông báo số 292-TB/TW </w:t>
      </w:r>
    </w:p>
    <w:p w14:paraId="41A7A234" w14:textId="77777777" w:rsidR="0048540D" w:rsidRDefault="0048540D" w:rsidP="0048540D">
      <w:pPr>
        <w:spacing w:before="120" w:line="360" w:lineRule="exact"/>
        <w:ind w:firstLine="567"/>
        <w:jc w:val="both"/>
        <w:rPr>
          <w:i/>
          <w:sz w:val="28"/>
          <w:szCs w:val="28"/>
        </w:rPr>
      </w:pPr>
      <w:r w:rsidRPr="006A0A1A">
        <w:rPr>
          <w:i/>
          <w:sz w:val="28"/>
          <w:szCs w:val="28"/>
        </w:rPr>
        <w:t>2.2.1. Công tác tuyên truyền, vận động quần chúng nhân dân và toàn xã hội quan tâm chăm sóc, giúp đỡ nạn nhân chất độc da cam</w:t>
      </w:r>
      <w:r w:rsidR="00294E80">
        <w:rPr>
          <w:i/>
          <w:sz w:val="28"/>
          <w:szCs w:val="28"/>
        </w:rPr>
        <w:t>:</w:t>
      </w:r>
    </w:p>
    <w:p w14:paraId="57068433" w14:textId="77777777" w:rsidR="0048540D" w:rsidRPr="003B3A2C" w:rsidRDefault="0048540D" w:rsidP="0048540D">
      <w:pPr>
        <w:spacing w:before="120" w:line="360" w:lineRule="exact"/>
        <w:ind w:firstLine="567"/>
        <w:jc w:val="both"/>
        <w:rPr>
          <w:i/>
          <w:sz w:val="28"/>
          <w:szCs w:val="28"/>
        </w:rPr>
      </w:pPr>
      <w:r w:rsidRPr="006A0A1A">
        <w:rPr>
          <w:sz w:val="28"/>
          <w:szCs w:val="28"/>
        </w:rPr>
        <w:t>Tỉnh ủy, Ủy ban nhân dân tỉnh thường xuyên chỉ đạo các cơ quan, thông tin,  truyền thông, Mặt trận Tổ quốc, các đoàn thể chính trị - xã hội và các hội quần chúng tăng cường công tác tuyên truyền các chủ trương của Đảng, chính sách, pháp luật của Nhà nước về các chế độ, chính sách đối với người tham gia hoạt động kháng chiến, về công tác chăm sóc, giúp đỡ nạn nhân chất độc da cam trong các cơ quan, đơn vị ra đoàn viên, hội viên và quần chúng nhân dân bằng nhiều hình thức thiết thực; vào các dịp lễ, tết, kỷ niệm ngày khuyết tật, ngày chất độc da cam như: tổ chức triển lãm, trưng bày hình ảnh nạn nhân chất độc da cam, giao lưu, truyền hình trực tiếp, phát tờ bướm; Đài Phát thanh và Truyền hình tỉnh phối hợp các ngành thực hiện 500 tin, 180 phóng sự phản ánh hoạt động của Đảng, Nhà nước, chính quyền địa phương, các tổ chức xã hội đối với nạn nhân chất độc da cam/dioxin; giới thiệu, tôn vinh gương người tốt, việc tốt, những tập thể, cá nhân có lòng nhân ái, ủng hộ giúp đỡ vật chất, tinh thần, xoa dịu nổi đau nạn nhân chất độc da cam, nêu gương những điển hình là nạn nhân chất độc da cam vượt qua nổi đau của bệnh tật, khó khăn để hòa nhập với cộng đồng xã hội.</w:t>
      </w:r>
    </w:p>
    <w:p w14:paraId="300A742A" w14:textId="77777777" w:rsidR="0048540D" w:rsidRPr="006A0A1A" w:rsidRDefault="0048540D" w:rsidP="0048540D">
      <w:pPr>
        <w:spacing w:before="120" w:line="360" w:lineRule="exact"/>
        <w:ind w:firstLine="567"/>
        <w:jc w:val="both"/>
        <w:rPr>
          <w:i/>
          <w:sz w:val="28"/>
          <w:szCs w:val="28"/>
        </w:rPr>
      </w:pPr>
      <w:r w:rsidRPr="006A0A1A">
        <w:rPr>
          <w:i/>
          <w:sz w:val="28"/>
          <w:szCs w:val="28"/>
        </w:rPr>
        <w:t>2.2.2. Kết quả chăm sóc, giúp đỡ nạn nhân chất độc da cam</w:t>
      </w:r>
      <w:r w:rsidR="00294E80">
        <w:rPr>
          <w:i/>
          <w:sz w:val="28"/>
          <w:szCs w:val="28"/>
        </w:rPr>
        <w:t>:</w:t>
      </w:r>
    </w:p>
    <w:p w14:paraId="1C174EB8" w14:textId="77777777" w:rsidR="0048540D" w:rsidRPr="006A0A1A" w:rsidRDefault="0048540D" w:rsidP="0048540D">
      <w:pPr>
        <w:spacing w:before="120" w:line="360" w:lineRule="exact"/>
        <w:ind w:firstLine="567"/>
        <w:jc w:val="both"/>
        <w:rPr>
          <w:sz w:val="28"/>
          <w:szCs w:val="28"/>
          <w:vertAlign w:val="superscript"/>
        </w:rPr>
      </w:pPr>
      <w:r w:rsidRPr="006A0A1A">
        <w:rPr>
          <w:sz w:val="28"/>
          <w:szCs w:val="28"/>
        </w:rPr>
        <w:t>Ủy ban nhân dân tỉnh chỉ đạo các cấp chính quyền thực hiện tốt chính sách của Đảng, Nhà nước đối với người hoạt động kháng chiến bị nhiễm chất độc hóa học và con đẻ của họ (không có hồ sơ tồn động), với nhiều việc làm thiết thực như: trợ cấp thường xuyên, đột xuất, điều dưỡng luân phiên, cấp thẻ bảo hiểm y tế, chăm sóc sức khỏe, chỉnh hình, phục hồi chức năng, vận động ủng hộ quỹ "Đền ơn đáp nghĩa", quỹ Nạn nhân chất độc da cam/dioxin và nhiều hoạt động khác nhằm chăm lo giúp đỡ cả về vật chất và tinh thần đối với nạn nhân chất độc da cam/dioxin trên địa bàn tỉnh.</w:t>
      </w:r>
      <w:r w:rsidRPr="006A0A1A">
        <w:rPr>
          <w:sz w:val="28"/>
          <w:szCs w:val="28"/>
          <w:vertAlign w:val="superscript"/>
        </w:rPr>
        <w:t xml:space="preserve"> </w:t>
      </w:r>
    </w:p>
    <w:p w14:paraId="4533AC0E" w14:textId="77777777" w:rsidR="0048540D" w:rsidRPr="006A0A1A" w:rsidRDefault="0048540D" w:rsidP="0048540D">
      <w:pPr>
        <w:spacing w:before="120" w:line="360" w:lineRule="exact"/>
        <w:ind w:firstLine="567"/>
        <w:jc w:val="both"/>
        <w:rPr>
          <w:sz w:val="28"/>
          <w:szCs w:val="28"/>
        </w:rPr>
      </w:pPr>
      <w:r w:rsidRPr="006A0A1A">
        <w:rPr>
          <w:sz w:val="28"/>
          <w:szCs w:val="28"/>
        </w:rPr>
        <w:t xml:space="preserve">Thực hiện Nghị định số 54/2006/NĐ-CP, ngày 26/5/2006 của Chính phủ hướng dẫn thi hành một số điều của Pháp lệnh Ưu đãi người có công với cách mạng; Nghị định số 31/2013/NĐ-CP ngày 09/4/2013 của Chính phủ quy định chi tiết, hướng dẫn thi hành Pháp lệnh ưu đãi người có công với cách mạng; Nghị định số 131/2021/NĐ-CP ngày 30/12/2021 của Chính phủ quy định chi tiết và biện pháp thi hành Pháp lệnh Ưu đãi người có công với cách mạng và các văn bản hướng dẫn của các bộ, ngành Trung ương tỉnh đã tiếp nhận và giới thiệu khám giám định đối với 686 trường hợp tại Hội đồng giám định y khoa theo quy định; trợ cấp hàng tháng ưu đãi hàng tháng cho 501 người hoạt động kháng chiến bị nhiễm chất độc hóa học và con đẻ của họ bị nhiễm chất độc hóa học, 100% điều được cấp thẻ bảo hiểm y tế, kinh phí thực hiện bình quân hằng năm khoảng 09 tỷ đồng; tổ chức điều dưỡng luân phiên cho người hoạt động kháng chiến bị nhiễm chất độc hóa học da cam/dioxin niên hạng một hoặc hai năm một lần, với kinh phí điều dưỡng tập trung hiện nay là 3.699.000 đồng/người/lần hoặc điều </w:t>
      </w:r>
      <w:r w:rsidRPr="0061782C">
        <w:rPr>
          <w:spacing w:val="-4"/>
          <w:sz w:val="28"/>
          <w:szCs w:val="28"/>
        </w:rPr>
        <w:t>dưỡng tại gia đình mức 1.644.000 đồng/người/lần. Hàng năm, nhân dịp lễ, tết tỉnh tổ chức</w:t>
      </w:r>
      <w:r w:rsidRPr="006A0A1A">
        <w:rPr>
          <w:sz w:val="28"/>
          <w:szCs w:val="28"/>
        </w:rPr>
        <w:t xml:space="preserve"> thăm, tặng quà đối với người hoạt động kháng chiến bị nhiễm chất độc hóa học và con </w:t>
      </w:r>
      <w:r w:rsidRPr="0061782C">
        <w:rPr>
          <w:spacing w:val="-4"/>
          <w:sz w:val="28"/>
          <w:szCs w:val="28"/>
        </w:rPr>
        <w:t>đẻ của họ đang nhận trợ cấp ưu đãi hàng tháng và nạn nhân chất độc da cam đang hưởng trợ cấp bảo trợ xã hội trên địa bàn tỉnh, mỗi phần quà trị giá từ 300.000 - 500.000 đồng.</w:t>
      </w:r>
    </w:p>
    <w:p w14:paraId="6A5C6C4D" w14:textId="77777777" w:rsidR="0048540D" w:rsidRPr="006A0A1A" w:rsidRDefault="0048540D" w:rsidP="00250621">
      <w:pPr>
        <w:spacing w:before="120" w:line="340" w:lineRule="exact"/>
        <w:ind w:firstLine="567"/>
        <w:jc w:val="both"/>
        <w:rPr>
          <w:rFonts w:eastAsia="Calibri"/>
          <w:sz w:val="28"/>
          <w:szCs w:val="28"/>
        </w:rPr>
      </w:pPr>
      <w:r w:rsidRPr="006A0A1A">
        <w:rPr>
          <w:rFonts w:eastAsia="Calibri"/>
          <w:sz w:val="28"/>
          <w:szCs w:val="28"/>
        </w:rPr>
        <w:t>Các trường hợp nạn nhân bị nhiễm chất độc hóa học không đủ điều kiện hưởng trợ cấp theo pháp lệnh Ưu đãi người có công với cách mạng nhưng có đủ điều kiện theo quy định của Luật Người khuyết tật đều được nhận trợ cấp xã hội hàng tháng với mức hiện này từ 540.000 - 900.000 đồng/tháng và các chính sách hỗ trợ kèm theo (bảo hiểm y tế, hỗ trợ chi phí mai táng...)</w:t>
      </w:r>
      <w:r w:rsidRPr="006A0A1A">
        <w:rPr>
          <w:rStyle w:val="FootnoteReference"/>
          <w:sz w:val="28"/>
          <w:szCs w:val="28"/>
        </w:rPr>
        <w:t>[</w:t>
      </w:r>
      <w:r w:rsidRPr="006A0A1A">
        <w:rPr>
          <w:rStyle w:val="FootnoteReference"/>
          <w:sz w:val="28"/>
          <w:szCs w:val="28"/>
        </w:rPr>
        <w:footnoteReference w:id="1"/>
      </w:r>
      <w:r w:rsidRPr="006A0A1A">
        <w:rPr>
          <w:sz w:val="28"/>
          <w:szCs w:val="28"/>
          <w:vertAlign w:val="superscript"/>
        </w:rPr>
        <w:t>]</w:t>
      </w:r>
      <w:r w:rsidRPr="006A0A1A">
        <w:rPr>
          <w:sz w:val="28"/>
          <w:szCs w:val="28"/>
        </w:rPr>
        <w:t>.</w:t>
      </w:r>
    </w:p>
    <w:p w14:paraId="76B3B04B" w14:textId="77777777" w:rsidR="0048540D" w:rsidRPr="006A0A1A" w:rsidRDefault="0048540D" w:rsidP="00250621">
      <w:pPr>
        <w:spacing w:before="120" w:line="340" w:lineRule="exact"/>
        <w:ind w:firstLine="567"/>
        <w:jc w:val="both"/>
        <w:rPr>
          <w:sz w:val="28"/>
          <w:szCs w:val="28"/>
        </w:rPr>
      </w:pPr>
      <w:r w:rsidRPr="006A0A1A">
        <w:rPr>
          <w:sz w:val="28"/>
          <w:szCs w:val="28"/>
        </w:rPr>
        <w:t>Hội Chữ thập đỏ tỉnh, Hội nạn nhân chất độc da cam/dioxin các cấp phối hợp với các đơn vị có liên quan triển khai nhiều hình thức vận động nguồn lực xã hội để chăm lo, hỗ trợ cho nạn nhân chất độc da cam trên địa bàn tỉnh</w:t>
      </w:r>
      <w:r w:rsidRPr="006A0A1A">
        <w:rPr>
          <w:rStyle w:val="FootnoteReference"/>
          <w:sz w:val="28"/>
          <w:szCs w:val="28"/>
        </w:rPr>
        <w:t>[</w:t>
      </w:r>
      <w:r w:rsidRPr="006A0A1A">
        <w:rPr>
          <w:rStyle w:val="FootnoteReference"/>
          <w:sz w:val="28"/>
          <w:szCs w:val="28"/>
        </w:rPr>
        <w:footnoteReference w:id="2"/>
      </w:r>
      <w:r w:rsidRPr="006A0A1A">
        <w:rPr>
          <w:rStyle w:val="FootnoteReference"/>
          <w:sz w:val="28"/>
          <w:szCs w:val="28"/>
        </w:rPr>
        <w:t>]</w:t>
      </w:r>
      <w:r w:rsidRPr="006A0A1A">
        <w:rPr>
          <w:sz w:val="28"/>
          <w:szCs w:val="28"/>
        </w:rPr>
        <w:t>.</w:t>
      </w:r>
    </w:p>
    <w:p w14:paraId="667F23C8" w14:textId="77777777" w:rsidR="0048540D" w:rsidRPr="006A0A1A" w:rsidRDefault="0048540D" w:rsidP="00250621">
      <w:pPr>
        <w:spacing w:before="120" w:line="340" w:lineRule="exact"/>
        <w:ind w:firstLine="567"/>
        <w:jc w:val="both"/>
        <w:rPr>
          <w:i/>
          <w:sz w:val="28"/>
          <w:szCs w:val="28"/>
        </w:rPr>
      </w:pPr>
      <w:r w:rsidRPr="006A0A1A">
        <w:rPr>
          <w:i/>
          <w:sz w:val="28"/>
          <w:szCs w:val="28"/>
        </w:rPr>
        <w:t>2.2.3. Việc tham gia đấu tranh đòi công lý cho nạn nhân chất độc da cam/dioxin</w:t>
      </w:r>
      <w:r w:rsidR="00294E80">
        <w:rPr>
          <w:i/>
          <w:sz w:val="28"/>
          <w:szCs w:val="28"/>
        </w:rPr>
        <w:t>:</w:t>
      </w:r>
    </w:p>
    <w:p w14:paraId="368C9748" w14:textId="77777777" w:rsidR="0048540D" w:rsidRPr="006A0A1A" w:rsidRDefault="0048540D" w:rsidP="00250621">
      <w:pPr>
        <w:spacing w:before="120" w:line="340" w:lineRule="exact"/>
        <w:ind w:firstLine="567"/>
        <w:jc w:val="both"/>
        <w:rPr>
          <w:sz w:val="28"/>
          <w:szCs w:val="28"/>
        </w:rPr>
      </w:pPr>
      <w:r w:rsidRPr="006A0A1A">
        <w:rPr>
          <w:sz w:val="28"/>
          <w:szCs w:val="28"/>
        </w:rPr>
        <w:t>Hội nạn nhân chất độc da cam/dioxin tỉnh điều tra, thu thập số liệu và hình ảnh các nạn nhân chất độc da cam đóng góp cho Hội nạn nhân chất độc da cam/dioxin Việt Nam và một vị giáo sư người Nhật NISHIMURA xuất bản quyển sách tin ảnh “Lời nguyện cầu cho Việt Nam” có thêm tư liệu về nạn nhân chất độc da cam, bổ sung quá trình đòi công lý cho nạn nhân chất độc da cam Việt Nam. Đồng thời đẩy mạnh xã hội hóa, vận động nguồn lực trong nước và quốc tế khắc phục hậu quả chiến tranh hóa học, chăm sóc, giúp đỡ nạn nhân,… ủng hộ vụ kiện của bà Trần Tố Nga (công dân Pháp gốc Việt) là nạn nhân chất độc da cam/dioxin Việt Nam, tỉnh đã tập họp trên 1.500 chữ ký ủng hộ.</w:t>
      </w:r>
    </w:p>
    <w:p w14:paraId="4A948703" w14:textId="77777777" w:rsidR="0048540D" w:rsidRPr="006A0A1A" w:rsidRDefault="0048540D" w:rsidP="00250621">
      <w:pPr>
        <w:spacing w:before="120" w:line="340" w:lineRule="exact"/>
        <w:ind w:firstLine="567"/>
        <w:jc w:val="both"/>
        <w:rPr>
          <w:i/>
          <w:sz w:val="28"/>
          <w:szCs w:val="28"/>
        </w:rPr>
      </w:pPr>
      <w:r w:rsidRPr="006A0A1A">
        <w:rPr>
          <w:i/>
          <w:sz w:val="28"/>
          <w:szCs w:val="28"/>
        </w:rPr>
        <w:t>2.2.4. Tình hình và kết quả họat động của Hội nạn nhân chất độc da cam/dioxin các cấp</w:t>
      </w:r>
      <w:r w:rsidR="00294E80">
        <w:rPr>
          <w:i/>
          <w:sz w:val="28"/>
          <w:szCs w:val="28"/>
        </w:rPr>
        <w:t>:</w:t>
      </w:r>
    </w:p>
    <w:p w14:paraId="3F0C6079" w14:textId="77777777" w:rsidR="0048540D" w:rsidRPr="006A0A1A" w:rsidRDefault="0048540D" w:rsidP="00250621">
      <w:pPr>
        <w:spacing w:before="120" w:line="340" w:lineRule="exact"/>
        <w:ind w:firstLine="567"/>
        <w:jc w:val="both"/>
        <w:rPr>
          <w:bCs/>
          <w:iCs/>
          <w:sz w:val="28"/>
          <w:szCs w:val="28"/>
        </w:rPr>
      </w:pPr>
      <w:r w:rsidRPr="006A0A1A">
        <w:rPr>
          <w:bCs/>
          <w:iCs/>
          <w:sz w:val="28"/>
          <w:szCs w:val="28"/>
        </w:rPr>
        <w:t>Hội nạn nhân chất độc da cam/diox</w:t>
      </w:r>
      <w:r>
        <w:rPr>
          <w:bCs/>
          <w:iCs/>
          <w:sz w:val="28"/>
          <w:szCs w:val="28"/>
        </w:rPr>
        <w:t>i</w:t>
      </w:r>
      <w:r w:rsidRPr="006A0A1A">
        <w:rPr>
          <w:bCs/>
          <w:iCs/>
          <w:sz w:val="28"/>
          <w:szCs w:val="28"/>
        </w:rPr>
        <w:t>n tỉnh được giao 3 biên chế (01 chủ tịch, 01 phó chủ tịch và chuyên viên); cấp huyện có Hội ghép với tên gọi là Hội Người mù - Chất độc da cam - Khuyết tật và Bảo vệ quyền trẻ em, mỗi huyện được giao từ 3 - 5 biên chế, Hội viên toàn tỉnh có 4.856 người.</w:t>
      </w:r>
    </w:p>
    <w:p w14:paraId="58DDC863" w14:textId="77777777" w:rsidR="0048540D" w:rsidRPr="006A0A1A" w:rsidRDefault="0048540D" w:rsidP="00250621">
      <w:pPr>
        <w:spacing w:before="120" w:line="340" w:lineRule="exact"/>
        <w:ind w:firstLine="567"/>
        <w:jc w:val="both"/>
        <w:rPr>
          <w:bCs/>
          <w:iCs/>
          <w:sz w:val="28"/>
          <w:szCs w:val="28"/>
        </w:rPr>
      </w:pPr>
      <w:r w:rsidRPr="006A0A1A">
        <w:rPr>
          <w:sz w:val="28"/>
          <w:szCs w:val="28"/>
        </w:rPr>
        <w:t>Hội nạn nhân chất độc da cam/dioxin các cấp đã thực hiện tốt vai trò tham mưu, đề xuất với cấp ủy đảng, chính quyền, đồng thời có nhiều nỗ lực phấn đấu xây dựng và phát triển hội, đổi mới phương thức hoạt động, tập trung hướng về cơ sở, hướng về nạn nhân chất độc da cam, thúc đẩy các hoạt động vì mục tiêu xã hội, nhân đạo, làm cho hội thật sự là tổ chức đại diện cho đối tượng chịu nhiều khó khăn, thiệt thòi cần được xã hội, Nhà nước quan tâm giúp đỡ, với tinh thần đoàn kết, nghĩa tình và trách nhiệm vì nạn nhân chất độc da cam</w:t>
      </w:r>
      <w:r w:rsidRPr="006A0A1A">
        <w:rPr>
          <w:bCs/>
          <w:iCs/>
          <w:sz w:val="28"/>
          <w:szCs w:val="28"/>
        </w:rPr>
        <w:t>.</w:t>
      </w:r>
    </w:p>
    <w:p w14:paraId="4F5D7447" w14:textId="77777777" w:rsidR="0048540D" w:rsidRPr="006A0A1A" w:rsidRDefault="0048540D" w:rsidP="0048540D">
      <w:pPr>
        <w:spacing w:before="120" w:line="360" w:lineRule="exact"/>
        <w:ind w:firstLine="567"/>
        <w:jc w:val="both"/>
        <w:rPr>
          <w:bCs/>
          <w:iCs/>
          <w:sz w:val="28"/>
          <w:szCs w:val="28"/>
        </w:rPr>
      </w:pPr>
      <w:r w:rsidRPr="006A0A1A">
        <w:rPr>
          <w:bCs/>
          <w:iCs/>
          <w:sz w:val="28"/>
          <w:szCs w:val="28"/>
        </w:rPr>
        <w:t xml:space="preserve">Tỉnh luôn quan tâm tạo điều kiện và thường xuyên chỉ đạo các sở, ngành, lãnh đạo địa phương quan tâm tạo điều kiện thuận lợi cho Hội nạn nhân chất độc da cam/dioxin các cấp hoạt động hiệu quả; </w:t>
      </w:r>
      <w:r w:rsidRPr="006A0A1A">
        <w:rPr>
          <w:sz w:val="28"/>
          <w:szCs w:val="28"/>
        </w:rPr>
        <w:t xml:space="preserve">bố trí phòng làm việc, được trang bị cơ bản đầy đủ cơ sở vật chất cho cán bộ, chuyên viên của hội hoạt động hiệu quả (đặt tại Trụ sở làm việc các Hội đặc thù tỉnh), được giao kinh phí hoạt động bình quân mỗi năm </w:t>
      </w:r>
      <w:r w:rsidRPr="0061782C">
        <w:rPr>
          <w:spacing w:val="-2"/>
          <w:sz w:val="28"/>
          <w:szCs w:val="28"/>
        </w:rPr>
        <w:t>khoảng 360 triệu đồng; 8/8 hội cấp huyện được bố trí trụ sở và cơ sở vật chất để tổ chức hoạt động, được giao kinh phí hoạt động bình quân mỗi năm từ 105 đến 391 triệu đồng</w:t>
      </w:r>
      <w:r w:rsidRPr="0061782C">
        <w:rPr>
          <w:bCs/>
          <w:iCs/>
          <w:spacing w:val="-2"/>
          <w:sz w:val="28"/>
          <w:szCs w:val="28"/>
        </w:rPr>
        <w:t>.</w:t>
      </w:r>
    </w:p>
    <w:p w14:paraId="4F429A5D" w14:textId="77777777" w:rsidR="0048540D" w:rsidRPr="006A0A1A" w:rsidRDefault="0048540D" w:rsidP="0048540D">
      <w:pPr>
        <w:spacing w:before="120" w:line="360" w:lineRule="exact"/>
        <w:ind w:firstLine="567"/>
        <w:jc w:val="both"/>
        <w:rPr>
          <w:b/>
          <w:sz w:val="28"/>
          <w:szCs w:val="28"/>
        </w:rPr>
      </w:pPr>
      <w:r w:rsidRPr="006A0A1A">
        <w:rPr>
          <w:b/>
          <w:sz w:val="28"/>
          <w:szCs w:val="28"/>
        </w:rPr>
        <w:t xml:space="preserve">3. Đánh giá tổng quát, nguyên nhân và kinh nghiệm trong thực hiện Thông báo số 292-TB/TW </w:t>
      </w:r>
    </w:p>
    <w:p w14:paraId="4928C211" w14:textId="77777777" w:rsidR="0048540D" w:rsidRPr="00294E80" w:rsidRDefault="0048540D" w:rsidP="0048540D">
      <w:pPr>
        <w:spacing w:before="120" w:line="360" w:lineRule="exact"/>
        <w:ind w:firstLine="567"/>
        <w:jc w:val="both"/>
        <w:rPr>
          <w:b/>
          <w:i/>
          <w:sz w:val="28"/>
          <w:szCs w:val="28"/>
        </w:rPr>
      </w:pPr>
      <w:r w:rsidRPr="00294E80">
        <w:rPr>
          <w:b/>
          <w:i/>
          <w:sz w:val="28"/>
          <w:szCs w:val="28"/>
        </w:rPr>
        <w:t>3.1. Kết quả đạt được</w:t>
      </w:r>
      <w:r w:rsidR="001A0C65">
        <w:rPr>
          <w:b/>
          <w:i/>
          <w:sz w:val="28"/>
          <w:szCs w:val="28"/>
        </w:rPr>
        <w:t>:</w:t>
      </w:r>
    </w:p>
    <w:p w14:paraId="3BA9EFAD" w14:textId="77777777" w:rsidR="0048540D" w:rsidRPr="006A0A1A" w:rsidRDefault="0048540D" w:rsidP="0048540D">
      <w:pPr>
        <w:spacing w:before="120" w:line="360" w:lineRule="exact"/>
        <w:ind w:firstLine="567"/>
        <w:jc w:val="both"/>
        <w:rPr>
          <w:sz w:val="28"/>
          <w:szCs w:val="28"/>
        </w:rPr>
      </w:pPr>
      <w:r w:rsidRPr="006A0A1A">
        <w:rPr>
          <w:sz w:val="28"/>
          <w:szCs w:val="28"/>
        </w:rPr>
        <w:t>Thông báo kết luận số 292-TB/TW, được các cấp ủy đảng, chính quyền, Mặt trận Tổ quốc, các đoàn thể chính trị - xã hội và các hội quần chúng triển khai thực hiện nghiêm túc, đúng các nội dung, yêu cầu của thông báo kết luận đề ra; ban hành các văn bản cụ thể hóa Thông báo kết luận số 292-TB/TW, chỉ đạo thực hiện; hàng năm tổ chức kiểm tra, lồng ghép kiểm tra, khảo sát, đánh giá việc triển khai thực hiện. Các cấp ủy đảng quan tâm chỉ đạo chính quyền thực hiện tốt các chính sách đối với người tham gia hoạt động kháng chiến và nạn nhân chất độc da cam. Chính quyền các cấp quan tâm tạo điều kiện thuận lợi về kinh phí, cơ sở vật chất, trụ sở làm việc cho Hội nạn nhân chất độc da cam/dioxin các cấp.</w:t>
      </w:r>
    </w:p>
    <w:p w14:paraId="015C901A" w14:textId="77777777" w:rsidR="0048540D" w:rsidRPr="006A0A1A" w:rsidRDefault="0048540D" w:rsidP="0048540D">
      <w:pPr>
        <w:spacing w:before="120" w:line="360" w:lineRule="exact"/>
        <w:ind w:firstLine="567"/>
        <w:jc w:val="both"/>
        <w:rPr>
          <w:sz w:val="28"/>
          <w:szCs w:val="28"/>
        </w:rPr>
      </w:pPr>
      <w:r w:rsidRPr="006A0A1A">
        <w:rPr>
          <w:sz w:val="28"/>
          <w:szCs w:val="28"/>
        </w:rPr>
        <w:t>Mặt trận Tổ quốc, các đoàn thể chính trị - xã hội và các hội quần chúng thường xuyên phối hợp với Hội nạn nhân chất độc da cam/dioxin tuyên truyền các chủ trương của Đảng, chính sách, pháp luật của Nhà nước đối với người tham gia hoạt động kháng chiến và nạn nhân chất độc da cam trong đoàn viên, hội viên và nhân dân; tham gia phối hợp các cơ quan chức năng thu thập tư liệu đấu tranh đòi công lý cho các nạn nhân chất độc da cam.</w:t>
      </w:r>
    </w:p>
    <w:p w14:paraId="5710D729" w14:textId="77777777" w:rsidR="0048540D" w:rsidRPr="00250621" w:rsidRDefault="0048540D" w:rsidP="0048540D">
      <w:pPr>
        <w:spacing w:before="120" w:line="360" w:lineRule="exact"/>
        <w:ind w:firstLine="567"/>
        <w:jc w:val="both"/>
        <w:rPr>
          <w:spacing w:val="-2"/>
          <w:sz w:val="28"/>
          <w:szCs w:val="28"/>
        </w:rPr>
      </w:pPr>
      <w:r w:rsidRPr="00250621">
        <w:rPr>
          <w:spacing w:val="-2"/>
          <w:sz w:val="28"/>
          <w:szCs w:val="28"/>
        </w:rPr>
        <w:t>Các cấp Hội nạn nhân chất độc da cam/dioxin trên địa bàn tỉnh thực hiện tốt vai trò đại diện cho tiếng nói của nạn nhân chất độc da cam, cũng như công tác chăm lo đời sống của nạn nhân chất độc da cam; tham mưu tốt cho cấp ủy đảng, chính quyền trong công tác chỉ đạo tổ chức, bộ máy, nâng cao chất lượng hoạt động của hội; thường xuyên đổi mới nội dung, phương thức hoạt dộng, đa dạng hóa các hình thức vận động nhân dân tham gia vào tổ chức hội, tham gia vào các hoạt động chăm sóc, giúp đỡ nạn nhân chất độc da cam.</w:t>
      </w:r>
      <w:r w:rsidRPr="006A0A1A">
        <w:rPr>
          <w:sz w:val="28"/>
          <w:szCs w:val="28"/>
        </w:rPr>
        <w:t xml:space="preserve"> Phối hợp thường xuyên rà soát, thống kê, phân loại đối tượng và thực hiện tốt công tác chăm sóc cho các nạn nhân chất độc da cam kịp thời, đúng đối tượng</w:t>
      </w:r>
      <w:r>
        <w:rPr>
          <w:sz w:val="28"/>
          <w:szCs w:val="28"/>
        </w:rPr>
        <w:t>.</w:t>
      </w:r>
      <w:r w:rsidRPr="006A0A1A">
        <w:rPr>
          <w:sz w:val="28"/>
          <w:szCs w:val="28"/>
        </w:rPr>
        <w:t xml:space="preserve"> </w:t>
      </w:r>
    </w:p>
    <w:p w14:paraId="3C1B360F" w14:textId="77777777" w:rsidR="0048540D" w:rsidRPr="006A0A1A" w:rsidRDefault="0048540D" w:rsidP="0048540D">
      <w:pPr>
        <w:spacing w:before="120" w:line="360" w:lineRule="exact"/>
        <w:ind w:firstLine="567"/>
        <w:jc w:val="both"/>
        <w:rPr>
          <w:sz w:val="28"/>
          <w:szCs w:val="28"/>
        </w:rPr>
      </w:pPr>
      <w:r w:rsidRPr="00250621">
        <w:rPr>
          <w:spacing w:val="-2"/>
          <w:sz w:val="28"/>
          <w:szCs w:val="28"/>
        </w:rPr>
        <w:t>Đời sống vật chất, tinh thần của người bị nhiễm chất độc da cam/dioxin trên địa bàn tỉnh không ngừng được cải thiện. Các cuộc vận động, các phong trào chăm sóc, giúp đỡ nạn nhân chất độc da cam ngày càng hiệu quả.</w:t>
      </w:r>
    </w:p>
    <w:p w14:paraId="7AF5AD8B" w14:textId="77777777" w:rsidR="0048540D" w:rsidRPr="00294E80" w:rsidRDefault="0048540D" w:rsidP="0048540D">
      <w:pPr>
        <w:spacing w:before="120" w:line="360" w:lineRule="exact"/>
        <w:ind w:firstLine="567"/>
        <w:jc w:val="both"/>
        <w:rPr>
          <w:b/>
          <w:i/>
          <w:sz w:val="28"/>
          <w:szCs w:val="28"/>
        </w:rPr>
      </w:pPr>
      <w:r w:rsidRPr="00294E80">
        <w:rPr>
          <w:b/>
          <w:i/>
          <w:sz w:val="28"/>
          <w:szCs w:val="28"/>
        </w:rPr>
        <w:t>3.2. Hạn chế</w:t>
      </w:r>
      <w:r w:rsidR="001A0C65">
        <w:rPr>
          <w:b/>
          <w:i/>
          <w:sz w:val="28"/>
          <w:szCs w:val="28"/>
        </w:rPr>
        <w:t>:</w:t>
      </w:r>
    </w:p>
    <w:p w14:paraId="3E0FB45E" w14:textId="77777777" w:rsidR="0048540D" w:rsidRPr="006A0A1A" w:rsidRDefault="0048540D" w:rsidP="0048540D">
      <w:pPr>
        <w:spacing w:before="120" w:line="360" w:lineRule="exact"/>
        <w:ind w:firstLine="567"/>
        <w:jc w:val="both"/>
        <w:rPr>
          <w:sz w:val="28"/>
          <w:szCs w:val="28"/>
          <w:shd w:val="clear" w:color="auto" w:fill="FFFFFF"/>
        </w:rPr>
      </w:pPr>
      <w:r w:rsidRPr="006A0A1A">
        <w:rPr>
          <w:sz w:val="28"/>
          <w:szCs w:val="28"/>
          <w:shd w:val="clear" w:color="auto" w:fill="FFFFFF"/>
        </w:rPr>
        <w:t>Có đơn vị địa phương (cấp huyện) quan tâm hỗ trợ, tạo điều kiện cho hoạt động của Hội nạn nhân chất độc da cam/dioxin nhưng chưa đáp ứng tốt các hoạt động của hội, hội chưa tự cân đối được kinh phí hoạt.</w:t>
      </w:r>
    </w:p>
    <w:p w14:paraId="7B875230" w14:textId="77777777" w:rsidR="0048540D" w:rsidRPr="00250621" w:rsidRDefault="0048540D" w:rsidP="0048540D">
      <w:pPr>
        <w:spacing w:before="120" w:line="360" w:lineRule="exact"/>
        <w:ind w:firstLine="567"/>
        <w:jc w:val="both"/>
        <w:rPr>
          <w:sz w:val="28"/>
          <w:szCs w:val="28"/>
          <w:shd w:val="clear" w:color="auto" w:fill="FFFFFF"/>
        </w:rPr>
      </w:pPr>
      <w:r w:rsidRPr="00250621">
        <w:rPr>
          <w:sz w:val="28"/>
          <w:szCs w:val="28"/>
          <w:shd w:val="clear" w:color="auto" w:fill="FFFFFF"/>
        </w:rPr>
        <w:t>Ngân sách chi hỗ trợ đối với nạn nhân</w:t>
      </w:r>
      <w:r w:rsidRPr="00250621">
        <w:rPr>
          <w:rFonts w:eastAsia="Calibri"/>
          <w:sz w:val="28"/>
          <w:szCs w:val="28"/>
        </w:rPr>
        <w:t xml:space="preserve"> chất độc da cam</w:t>
      </w:r>
      <w:r w:rsidRPr="00250621">
        <w:rPr>
          <w:sz w:val="28"/>
          <w:szCs w:val="28"/>
          <w:shd w:val="clear" w:color="auto" w:fill="FFFFFF"/>
        </w:rPr>
        <w:t xml:space="preserve"> (ngoài đối tượng đã hưởng theo Pháp lệnh Ưu đãi người có công với cách mạng) còn thấp.</w:t>
      </w:r>
    </w:p>
    <w:p w14:paraId="1168E5B0" w14:textId="77777777" w:rsidR="0048540D" w:rsidRPr="00250621" w:rsidRDefault="0048540D" w:rsidP="0061782C">
      <w:pPr>
        <w:spacing w:before="120" w:line="320" w:lineRule="exact"/>
        <w:ind w:firstLine="567"/>
        <w:jc w:val="both"/>
        <w:rPr>
          <w:bCs/>
          <w:sz w:val="28"/>
          <w:szCs w:val="28"/>
          <w:shd w:val="clear" w:color="auto" w:fill="FFFFFF"/>
        </w:rPr>
      </w:pPr>
      <w:r w:rsidRPr="006A0A1A">
        <w:rPr>
          <w:sz w:val="28"/>
          <w:szCs w:val="28"/>
          <w:shd w:val="clear" w:color="auto" w:fill="FFFFFF"/>
        </w:rPr>
        <w:t>Hoạt động của hội vẫn còn một số tồn tại đó là: công tác tuyên truyền vận động ủng hộ giúp đỡ các nạn nhân chất độc da cam chưa thường xuyên, hình thức chưa phong phú, công tác phối hết hợp với các cấp, các ngành còn hạn chế, hoạt động của một số hội chưa hiệu quả, một số cán bộ chưa tâm huyết với công việc,…</w:t>
      </w:r>
    </w:p>
    <w:p w14:paraId="00405A4C" w14:textId="77777777" w:rsidR="0048540D" w:rsidRPr="00294E80" w:rsidRDefault="0048540D" w:rsidP="0061782C">
      <w:pPr>
        <w:spacing w:before="120" w:line="320" w:lineRule="exact"/>
        <w:ind w:firstLine="567"/>
        <w:jc w:val="both"/>
        <w:rPr>
          <w:b/>
          <w:i/>
          <w:sz w:val="28"/>
          <w:szCs w:val="28"/>
        </w:rPr>
      </w:pPr>
      <w:r w:rsidRPr="00294E80">
        <w:rPr>
          <w:b/>
          <w:i/>
          <w:sz w:val="28"/>
          <w:szCs w:val="28"/>
        </w:rPr>
        <w:t>3.3. Nguyên nhân kết quả đạt được và hạn chế</w:t>
      </w:r>
    </w:p>
    <w:p w14:paraId="3FD4C26B" w14:textId="77777777" w:rsidR="0048540D" w:rsidRPr="00294E80" w:rsidRDefault="0048540D" w:rsidP="0061782C">
      <w:pPr>
        <w:spacing w:before="120" w:line="320" w:lineRule="exact"/>
        <w:ind w:firstLine="567"/>
        <w:jc w:val="both"/>
        <w:rPr>
          <w:i/>
          <w:sz w:val="28"/>
          <w:szCs w:val="28"/>
        </w:rPr>
      </w:pPr>
      <w:r w:rsidRPr="00294E80">
        <w:rPr>
          <w:i/>
          <w:sz w:val="28"/>
          <w:szCs w:val="28"/>
        </w:rPr>
        <w:t>* Nguyên nhân kết quả đạt được</w:t>
      </w:r>
      <w:r w:rsidR="00294E80">
        <w:rPr>
          <w:i/>
          <w:sz w:val="28"/>
          <w:szCs w:val="28"/>
        </w:rPr>
        <w:t>:</w:t>
      </w:r>
    </w:p>
    <w:p w14:paraId="60334E2D" w14:textId="77777777" w:rsidR="0048540D" w:rsidRPr="006A0A1A" w:rsidRDefault="0048540D" w:rsidP="0061782C">
      <w:pPr>
        <w:spacing w:before="120" w:line="320" w:lineRule="exact"/>
        <w:ind w:firstLine="567"/>
        <w:jc w:val="both"/>
        <w:rPr>
          <w:sz w:val="28"/>
          <w:szCs w:val="28"/>
        </w:rPr>
      </w:pPr>
      <w:r w:rsidRPr="006A0A1A">
        <w:rPr>
          <w:sz w:val="28"/>
          <w:szCs w:val="28"/>
        </w:rPr>
        <w:t>Được sự quan tâm chỉ đạo của các cấp ủy đảng, tạo điều kiện thuận lợi về kinh phí, cơ sở vật chất và trụ sở làm việc của chính quyền các cấp, ủy ban nhân dân tỉnh kịp thời cụ thể hóa các chủ trương của Đảng, chính sách, pháp luật của Nhà nước đối với người tham gia hoạt động cách mạng và các nạn nhân chất độc da cam.</w:t>
      </w:r>
    </w:p>
    <w:p w14:paraId="2B4AEB44" w14:textId="77777777" w:rsidR="0048540D" w:rsidRPr="006A0A1A" w:rsidRDefault="0048540D" w:rsidP="0061782C">
      <w:pPr>
        <w:spacing w:before="120" w:line="320" w:lineRule="exact"/>
        <w:ind w:firstLine="567"/>
        <w:jc w:val="both"/>
        <w:rPr>
          <w:sz w:val="28"/>
          <w:szCs w:val="28"/>
        </w:rPr>
      </w:pPr>
      <w:r w:rsidRPr="006A0A1A">
        <w:rPr>
          <w:sz w:val="28"/>
          <w:szCs w:val="28"/>
        </w:rPr>
        <w:t>Cán bộ làm công tác hội có uy tín, nhiệt tình, tâm huyết, kịp thời nắm bắt chủ trương của Đảng, chính sách, pháp luật của Nhà nước về công tác chăm sóc cho các nạn nhân chất độc da cam.</w:t>
      </w:r>
    </w:p>
    <w:p w14:paraId="74305E26" w14:textId="77777777" w:rsidR="0048540D" w:rsidRPr="006A0A1A" w:rsidRDefault="0048540D" w:rsidP="0061782C">
      <w:pPr>
        <w:spacing w:before="120" w:line="320" w:lineRule="exact"/>
        <w:ind w:firstLine="567"/>
        <w:jc w:val="both"/>
        <w:rPr>
          <w:sz w:val="28"/>
          <w:szCs w:val="28"/>
        </w:rPr>
      </w:pPr>
      <w:r w:rsidRPr="006A0A1A">
        <w:rPr>
          <w:sz w:val="28"/>
          <w:szCs w:val="28"/>
        </w:rPr>
        <w:t>Sự phối hợp chặt chẽ giữa Mặt trận Tổ quốc, các đoàn thể chính trị - xã hội, các hội quần chúng với chính quyền, Hội nạn nhân chất độc da cam/dioxin trong công tác tuyên truyền vận động và chăm sóc cho các nạn nhân chất độc da cam.</w:t>
      </w:r>
    </w:p>
    <w:p w14:paraId="7E98DED2" w14:textId="77777777" w:rsidR="002B2B16" w:rsidRPr="00294E80" w:rsidRDefault="0048540D" w:rsidP="0061782C">
      <w:pPr>
        <w:spacing w:before="120" w:line="320" w:lineRule="exact"/>
        <w:ind w:firstLine="567"/>
        <w:jc w:val="both"/>
        <w:rPr>
          <w:i/>
          <w:sz w:val="28"/>
          <w:szCs w:val="28"/>
        </w:rPr>
      </w:pPr>
      <w:r w:rsidRPr="00294E80">
        <w:rPr>
          <w:i/>
          <w:sz w:val="28"/>
          <w:szCs w:val="28"/>
        </w:rPr>
        <w:t>* Nguyên nhân hạn chế</w:t>
      </w:r>
      <w:r w:rsidR="00294E80">
        <w:rPr>
          <w:i/>
          <w:sz w:val="28"/>
          <w:szCs w:val="28"/>
        </w:rPr>
        <w:t>:</w:t>
      </w:r>
    </w:p>
    <w:p w14:paraId="49A92AC8" w14:textId="77777777" w:rsidR="0048540D" w:rsidRPr="002B2B16" w:rsidRDefault="0048540D" w:rsidP="0061782C">
      <w:pPr>
        <w:spacing w:before="120" w:line="320" w:lineRule="exact"/>
        <w:ind w:firstLine="567"/>
        <w:jc w:val="both"/>
        <w:rPr>
          <w:b/>
          <w:sz w:val="28"/>
          <w:szCs w:val="28"/>
        </w:rPr>
      </w:pPr>
      <w:r w:rsidRPr="00250621">
        <w:rPr>
          <w:spacing w:val="-2"/>
          <w:sz w:val="28"/>
          <w:szCs w:val="28"/>
        </w:rPr>
        <w:t xml:space="preserve">Công tác phối hợp giữa các cơ quan, đơn vị còn thiếu tích cực, chưa chủ động; việc lồng ghép, gắn kết tuyên truyền </w:t>
      </w:r>
      <w:r w:rsidRPr="00250621">
        <w:rPr>
          <w:spacing w:val="-2"/>
          <w:sz w:val="28"/>
          <w:szCs w:val="28"/>
          <w:shd w:val="clear" w:color="auto" w:fill="FFFFFF"/>
        </w:rPr>
        <w:t xml:space="preserve">các chủ trương, chính sách của Đảng, pháp luật của Nhà nước nhằm </w:t>
      </w:r>
      <w:r w:rsidRPr="00250621">
        <w:rPr>
          <w:rFonts w:eastAsia="Calibri"/>
          <w:spacing w:val="-2"/>
          <w:sz w:val="28"/>
          <w:szCs w:val="28"/>
        </w:rPr>
        <w:t>khắc phục cơ bản hậu quả chất độc hóa học/dioxin</w:t>
      </w:r>
      <w:r w:rsidRPr="00250621">
        <w:rPr>
          <w:spacing w:val="-2"/>
          <w:sz w:val="28"/>
          <w:szCs w:val="28"/>
        </w:rPr>
        <w:t xml:space="preserve"> chưa thường xuyên.</w:t>
      </w:r>
    </w:p>
    <w:p w14:paraId="79DB044F" w14:textId="77777777" w:rsidR="0048540D" w:rsidRPr="006A0A1A" w:rsidRDefault="0048540D" w:rsidP="0061782C">
      <w:pPr>
        <w:spacing w:before="120" w:line="320" w:lineRule="exact"/>
        <w:ind w:firstLine="567"/>
        <w:jc w:val="both"/>
        <w:rPr>
          <w:sz w:val="28"/>
          <w:szCs w:val="28"/>
        </w:rPr>
      </w:pPr>
      <w:r w:rsidRPr="006A0A1A">
        <w:rPr>
          <w:sz w:val="28"/>
          <w:szCs w:val="28"/>
        </w:rPr>
        <w:t>Có nơi Hội nạn nhân chất độc da cam/dioxin cấp huyện và cấp xã thành lập sau ngày 01 tháng 7 năm 2010 nên chưa được công nhận là hội đặc thù theo quy định của Chính phủ, nên lãnh đạo địa phương gặp khó trong bố trí kinh phí (bao gồm lương) cho các hội hoạt động, từ đó ảnh hưởng đến chất lượng hoạt động của hội.</w:t>
      </w:r>
    </w:p>
    <w:p w14:paraId="624139BE" w14:textId="77777777" w:rsidR="0048540D" w:rsidRPr="006A0A1A" w:rsidRDefault="0048540D" w:rsidP="0061782C">
      <w:pPr>
        <w:spacing w:before="120" w:line="320" w:lineRule="exact"/>
        <w:ind w:firstLine="567"/>
        <w:jc w:val="both"/>
        <w:rPr>
          <w:sz w:val="28"/>
          <w:szCs w:val="28"/>
        </w:rPr>
      </w:pPr>
      <w:r w:rsidRPr="006A0A1A">
        <w:rPr>
          <w:sz w:val="28"/>
          <w:szCs w:val="28"/>
        </w:rPr>
        <w:t>Do đặc thù điều kiện kinh tế của tỉnh xuất phát điểm còn thấp so với các tỉnh trong khu vực, các cơ sở sản xuất, kinh doanh trên địa bàn tỉnh còn ít nên công tác vận động nguồn lực để chăm lo, hỗ trợ cho nạn nhân chất độc da cam còn hạn chế.</w:t>
      </w:r>
    </w:p>
    <w:p w14:paraId="7B510F5A" w14:textId="77777777" w:rsidR="0048540D" w:rsidRPr="00294E80" w:rsidRDefault="0048540D" w:rsidP="0061782C">
      <w:pPr>
        <w:spacing w:before="120" w:line="320" w:lineRule="exact"/>
        <w:ind w:firstLine="567"/>
        <w:jc w:val="both"/>
        <w:rPr>
          <w:b/>
          <w:i/>
          <w:sz w:val="28"/>
          <w:szCs w:val="28"/>
        </w:rPr>
      </w:pPr>
      <w:r w:rsidRPr="00294E80">
        <w:rPr>
          <w:b/>
          <w:i/>
          <w:sz w:val="28"/>
          <w:szCs w:val="28"/>
        </w:rPr>
        <w:t>3.3. Kinh nghiệm</w:t>
      </w:r>
    </w:p>
    <w:p w14:paraId="6FC6EE06" w14:textId="77777777" w:rsidR="0048540D" w:rsidRPr="006A0A1A" w:rsidRDefault="0048540D" w:rsidP="0061782C">
      <w:pPr>
        <w:spacing w:before="120" w:line="320" w:lineRule="exact"/>
        <w:ind w:firstLine="567"/>
        <w:jc w:val="both"/>
        <w:rPr>
          <w:sz w:val="28"/>
          <w:szCs w:val="28"/>
          <w:shd w:val="clear" w:color="auto" w:fill="FFFFFF"/>
        </w:rPr>
      </w:pPr>
      <w:r w:rsidRPr="00676FC5">
        <w:rPr>
          <w:spacing w:val="-2"/>
          <w:sz w:val="28"/>
          <w:szCs w:val="28"/>
        </w:rPr>
        <w:t>Các cấp ủy đảng phải thường xuyên quan tâm chỉ đạo các cấp chính quyền, các ban, ngành thực hiện tốt các chủ trương của Đảng, chính sách, pháp luật của Nhà nước</w:t>
      </w:r>
      <w:r w:rsidRPr="006A0A1A">
        <w:rPr>
          <w:sz w:val="28"/>
          <w:szCs w:val="28"/>
        </w:rPr>
        <w:t xml:space="preserve"> về </w:t>
      </w:r>
      <w:r w:rsidRPr="006A0A1A">
        <w:rPr>
          <w:sz w:val="28"/>
          <w:szCs w:val="28"/>
          <w:shd w:val="clear" w:color="auto" w:fill="FFFFFF"/>
        </w:rPr>
        <w:t>giải quyết hậu quả chất độc hóa học do Mỹ tiến hành trong cuộc chiến tranh ở Việt Nam và công tác chăm sóc, giúp đỡ nạn nhân chất độc da cam, cũng như tổ chức hoạt động của Hội Nạn nhân chất độc da cam/dioxin.</w:t>
      </w:r>
    </w:p>
    <w:p w14:paraId="3DA63F9C" w14:textId="77777777" w:rsidR="0048540D" w:rsidRPr="006A0A1A" w:rsidRDefault="0048540D" w:rsidP="0061782C">
      <w:pPr>
        <w:spacing w:before="120" w:line="320" w:lineRule="exact"/>
        <w:ind w:firstLine="567"/>
        <w:jc w:val="both"/>
        <w:rPr>
          <w:sz w:val="28"/>
          <w:szCs w:val="28"/>
        </w:rPr>
      </w:pPr>
      <w:r w:rsidRPr="006A0A1A">
        <w:rPr>
          <w:sz w:val="28"/>
          <w:szCs w:val="28"/>
        </w:rPr>
        <w:t>Các cấp chính quyền phải kịp thời chỉ đạo các cơ quan chuyên môn thực hiện tốt các chính sách về giải quyết hậu quả chất độc da cam/dioxin, công tác chăm sóc, hỗ trợ nạn nhân chất độc da cam; tạo điều kiện về kinh phí, cơ sở vật chất để hội hoạt động hiệu quả.</w:t>
      </w:r>
    </w:p>
    <w:p w14:paraId="2DE31F03" w14:textId="77777777" w:rsidR="0048540D" w:rsidRPr="006A0A1A" w:rsidRDefault="0048540D" w:rsidP="0048540D">
      <w:pPr>
        <w:spacing w:before="120" w:line="360" w:lineRule="exact"/>
        <w:ind w:firstLine="567"/>
        <w:jc w:val="both"/>
        <w:rPr>
          <w:sz w:val="28"/>
          <w:szCs w:val="28"/>
        </w:rPr>
      </w:pPr>
      <w:r w:rsidRPr="006A0A1A">
        <w:rPr>
          <w:sz w:val="28"/>
          <w:szCs w:val="28"/>
        </w:rPr>
        <w:t xml:space="preserve">Cần đẩy mạnh công tác tuyên truyền với nhiều hình thức phong phú, đa dạng về nội dung và phải tổ chức thường xuyên nhằm </w:t>
      </w:r>
      <w:r w:rsidRPr="006A0A1A">
        <w:rPr>
          <w:rFonts w:eastAsia="Calibri"/>
          <w:sz w:val="28"/>
          <w:szCs w:val="28"/>
        </w:rPr>
        <w:t xml:space="preserve">chuyển biến về nhận thức và trách nhiệm của cấp ủy đảng, chính quyền, Mặt trận Tổ quốc, các đoàn thể chính trị - xã hội, hội quần chúng nhân dân trong </w:t>
      </w:r>
      <w:r w:rsidRPr="006A0A1A">
        <w:rPr>
          <w:sz w:val="28"/>
          <w:szCs w:val="28"/>
          <w:shd w:val="clear" w:color="auto" w:fill="FFFFFF"/>
        </w:rPr>
        <w:t>giải quyết hậu quả chất độc hóa học do Mỹ tiến hành trong cuộc chiến tranh ở Việt Nam và công tác chăm sóc, giúp đỡ nạn nhân chất độc da cam</w:t>
      </w:r>
      <w:r w:rsidRPr="006A0A1A">
        <w:rPr>
          <w:sz w:val="28"/>
          <w:szCs w:val="28"/>
        </w:rPr>
        <w:t>.</w:t>
      </w:r>
    </w:p>
    <w:p w14:paraId="7D2979AC" w14:textId="77777777" w:rsidR="0048540D" w:rsidRPr="006A0A1A" w:rsidRDefault="0048540D" w:rsidP="0048540D">
      <w:pPr>
        <w:spacing w:before="120" w:line="360" w:lineRule="exact"/>
        <w:ind w:firstLine="567"/>
        <w:jc w:val="both"/>
        <w:rPr>
          <w:sz w:val="28"/>
          <w:szCs w:val="28"/>
        </w:rPr>
      </w:pPr>
      <w:r w:rsidRPr="006A0A1A">
        <w:rPr>
          <w:sz w:val="28"/>
          <w:szCs w:val="28"/>
        </w:rPr>
        <w:t xml:space="preserve">Hội nạn nhân chất độc da cam/dioxin các cấp phải thực hiện tốt vai trò tham mưu cho cấp ủy đảng, chính quyền chỉ đạo, định hướng hoạt động của hội, chủ động đề ra chương trình hoạt động thật cụ thể, thiết thực, sát với chức năng, nhiệm vụ của hội và linh hoạt điều chỉnh để phù hợp với tình hình thực tế của địa phương. Phải thường xuyên đổi mới nội dung, phương thức, nâng cao chất lượng hoạt động, các phong trào thi đua, phù hợp với từng đối tượng, sát cơ sở. </w:t>
      </w:r>
    </w:p>
    <w:p w14:paraId="3B2DB58B" w14:textId="77777777" w:rsidR="0048540D" w:rsidRPr="006A0A1A" w:rsidRDefault="0048540D" w:rsidP="0048540D">
      <w:pPr>
        <w:spacing w:before="120" w:line="360" w:lineRule="exact"/>
        <w:ind w:firstLine="567"/>
        <w:jc w:val="both"/>
        <w:rPr>
          <w:b/>
          <w:sz w:val="28"/>
          <w:szCs w:val="28"/>
        </w:rPr>
      </w:pPr>
    </w:p>
    <w:p w14:paraId="639A6B4A" w14:textId="77777777" w:rsidR="0048540D" w:rsidRPr="006A0A1A" w:rsidRDefault="0048540D" w:rsidP="002B2B16">
      <w:pPr>
        <w:tabs>
          <w:tab w:val="left" w:pos="3130"/>
        </w:tabs>
        <w:spacing w:line="360" w:lineRule="exact"/>
        <w:jc w:val="center"/>
        <w:rPr>
          <w:b/>
          <w:sz w:val="28"/>
          <w:szCs w:val="28"/>
        </w:rPr>
      </w:pPr>
      <w:r w:rsidRPr="006A0A1A">
        <w:rPr>
          <w:b/>
          <w:sz w:val="28"/>
          <w:szCs w:val="28"/>
        </w:rPr>
        <w:t>PHẦN THỨ HAI</w:t>
      </w:r>
    </w:p>
    <w:p w14:paraId="3612CEE6" w14:textId="77777777" w:rsidR="0048540D" w:rsidRPr="006A0A1A" w:rsidRDefault="0048540D" w:rsidP="002B2B16">
      <w:pPr>
        <w:spacing w:line="360" w:lineRule="exact"/>
        <w:jc w:val="center"/>
        <w:rPr>
          <w:b/>
          <w:sz w:val="28"/>
          <w:szCs w:val="28"/>
        </w:rPr>
      </w:pPr>
      <w:r w:rsidRPr="006A0A1A">
        <w:rPr>
          <w:b/>
          <w:sz w:val="28"/>
          <w:szCs w:val="28"/>
        </w:rPr>
        <w:t>Nhiệm vụ, giải pháp tiếp tục thực hiện Thông báo Kết luận số 292-TB/TW</w:t>
      </w:r>
    </w:p>
    <w:p w14:paraId="0A981F4E" w14:textId="77777777" w:rsidR="0048540D" w:rsidRPr="006A0A1A" w:rsidRDefault="0048540D" w:rsidP="0048540D">
      <w:pPr>
        <w:spacing w:before="120" w:line="360" w:lineRule="exact"/>
        <w:ind w:firstLine="567"/>
        <w:jc w:val="both"/>
        <w:rPr>
          <w:b/>
          <w:sz w:val="28"/>
          <w:szCs w:val="28"/>
        </w:rPr>
      </w:pPr>
    </w:p>
    <w:p w14:paraId="08F5AD56" w14:textId="77777777" w:rsidR="0048540D" w:rsidRPr="006A0A1A" w:rsidRDefault="0048540D" w:rsidP="0048540D">
      <w:pPr>
        <w:shd w:val="clear" w:color="auto" w:fill="FFFFFF"/>
        <w:spacing w:before="120" w:line="189" w:lineRule="atLeast"/>
        <w:ind w:firstLine="567"/>
        <w:jc w:val="both"/>
        <w:textAlignment w:val="baseline"/>
        <w:rPr>
          <w:sz w:val="28"/>
          <w:szCs w:val="28"/>
        </w:rPr>
      </w:pPr>
      <w:r>
        <w:rPr>
          <w:b/>
          <w:sz w:val="28"/>
          <w:szCs w:val="28"/>
        </w:rPr>
        <w:t xml:space="preserve">1. </w:t>
      </w:r>
      <w:r w:rsidRPr="006A0A1A">
        <w:rPr>
          <w:b/>
          <w:sz w:val="28"/>
          <w:szCs w:val="28"/>
        </w:rPr>
        <w:t>Những yêu cầu đặt ra</w:t>
      </w:r>
    </w:p>
    <w:p w14:paraId="54075FFB" w14:textId="77777777" w:rsidR="0048540D" w:rsidRPr="006A0A1A" w:rsidRDefault="0048540D" w:rsidP="0048540D">
      <w:pPr>
        <w:shd w:val="clear" w:color="auto" w:fill="FFFFFF"/>
        <w:spacing w:before="120" w:line="189" w:lineRule="atLeast"/>
        <w:ind w:firstLine="567"/>
        <w:jc w:val="both"/>
        <w:textAlignment w:val="baseline"/>
        <w:rPr>
          <w:sz w:val="28"/>
          <w:szCs w:val="28"/>
        </w:rPr>
      </w:pPr>
      <w:r w:rsidRPr="006A0A1A">
        <w:rPr>
          <w:sz w:val="28"/>
          <w:szCs w:val="28"/>
        </w:rPr>
        <w:t>Cuộc kháng chiến chống Mỹ cứu nước đã đi qua hơn 1/3 thế kỷ, một khoảng thời gian đủ dài để có thể hàn gắn vết thương chiến tranh. Nhưng di chứng của chiến tranh thì vẫn còn mãi, một trong những biểu hiện cụ thể là di chứng chất độc da cam/dioxin mà hậu quả của nó để lại là rất nặng nề, gây nên những nỗi đau dai dẳng, những bất hạnh, thương đau cả về thể xác và tinh thần đối với nhiều nạn nhân và nhiều gia đình. Xoa dịu “</w:t>
      </w:r>
      <w:r>
        <w:rPr>
          <w:sz w:val="28"/>
          <w:szCs w:val="28"/>
        </w:rPr>
        <w:t>N</w:t>
      </w:r>
      <w:r w:rsidRPr="006A0A1A">
        <w:rPr>
          <w:sz w:val="28"/>
          <w:szCs w:val="28"/>
        </w:rPr>
        <w:t>ỗi đau da cam</w:t>
      </w:r>
      <w:r w:rsidR="00294E80">
        <w:rPr>
          <w:sz w:val="28"/>
          <w:szCs w:val="28"/>
        </w:rPr>
        <w:t>”</w:t>
      </w:r>
      <w:r w:rsidRPr="006A0A1A">
        <w:rPr>
          <w:sz w:val="28"/>
          <w:szCs w:val="28"/>
        </w:rPr>
        <w:t xml:space="preserve"> là việc làm nhân đạo, là tiếng gọi của lương tri và trách nhiệm của cả hệ thống chính trị và cộng đồng xã hội. Vì vậy, trong thời gian tới Đảng và Nhà nước ta cần phải quan tâm hơn, có nhiều chủ trương, chính sách, chế độ hơn n</w:t>
      </w:r>
      <w:r>
        <w:rPr>
          <w:sz w:val="28"/>
          <w:szCs w:val="28"/>
        </w:rPr>
        <w:t>ữ</w:t>
      </w:r>
      <w:r w:rsidRPr="006A0A1A">
        <w:rPr>
          <w:sz w:val="28"/>
          <w:szCs w:val="28"/>
        </w:rPr>
        <w:t>a để chăm sóc, giúp đỡ nạn nhân chất độc da cam. Hiện tại đời sống của các nạn nhân chất độc da cam và thế hệ con cháu của các nạn nhân còn gặp nhiều khó khăn, để các nạn nhân chất độc da cam/dioxin có điều kiện thuận lợi nâng cao đời sống, vật chất, tinh thần hòa nhập với cộng đồng, cần sự quan tâm giúp đỡ của các cấp ủy đảng, chính quyền, Mặt trận Tổ quốc, các đoàn thể chính trị - xã hội, các hội quần chúng và toàn xã hội tiếp tục thực hiện chương trình mục tiêu chăm lo cho nạn nhân chất độc da cam: chung tay xoa dịu nổi đau da cam; “Đoàn kết, nghĩa tình và trách nhiệm” đối với nạn nhân chất độc da cam.</w:t>
      </w:r>
    </w:p>
    <w:p w14:paraId="39FA12AD" w14:textId="77777777" w:rsidR="0048540D" w:rsidRPr="006A0A1A" w:rsidRDefault="0048540D" w:rsidP="00676FC5">
      <w:pPr>
        <w:spacing w:before="120" w:line="340" w:lineRule="exact"/>
        <w:ind w:firstLine="567"/>
        <w:jc w:val="both"/>
        <w:rPr>
          <w:b/>
          <w:sz w:val="28"/>
          <w:szCs w:val="28"/>
        </w:rPr>
      </w:pPr>
      <w:r w:rsidRPr="006A0A1A">
        <w:rPr>
          <w:b/>
          <w:sz w:val="28"/>
          <w:szCs w:val="28"/>
        </w:rPr>
        <w:t>2. Nhiệm vụ, giải pháp</w:t>
      </w:r>
    </w:p>
    <w:p w14:paraId="49AB3F4E" w14:textId="77777777" w:rsidR="0048540D" w:rsidRPr="006A0A1A" w:rsidRDefault="0048540D" w:rsidP="00676FC5">
      <w:pPr>
        <w:spacing w:before="120" w:line="340" w:lineRule="exact"/>
        <w:ind w:firstLine="567"/>
        <w:jc w:val="both"/>
        <w:rPr>
          <w:sz w:val="28"/>
          <w:szCs w:val="28"/>
        </w:rPr>
      </w:pPr>
      <w:r w:rsidRPr="006A0A1A">
        <w:rPr>
          <w:sz w:val="28"/>
          <w:szCs w:val="28"/>
        </w:rPr>
        <w:t>- Các cấp ủy đảng</w:t>
      </w:r>
      <w:r w:rsidRPr="006A0A1A">
        <w:rPr>
          <w:b/>
          <w:sz w:val="28"/>
          <w:szCs w:val="28"/>
        </w:rPr>
        <w:t xml:space="preserve"> </w:t>
      </w:r>
      <w:r w:rsidRPr="006A0A1A">
        <w:rPr>
          <w:sz w:val="28"/>
          <w:szCs w:val="28"/>
        </w:rPr>
        <w:t>tiếp tục chỉ đạo quán triệt, tuyên truyền sâu rộng Thông báo kết luận số 292-TB/TW, Công văn số 99-CV/TU, Thông tri số 02-TT/TU, ngày 03/8/2015 về thực hiện có hiện quả Chỉ thị số 43-CT/TW ngày 14/5/2015 của Ban Bí thư về tăng cường sự lãnh đạo của Đảng đối với công tác giải quyết hậu quả chất độc hóa học do Mỹ sử dụng trong chiến tranh ở Việt Nam trong cán bộ, đảng viên, đoàn viên, hội viên và nhân dân.</w:t>
      </w:r>
    </w:p>
    <w:p w14:paraId="49A85F9D" w14:textId="77777777" w:rsidR="0048540D" w:rsidRPr="006A0A1A" w:rsidRDefault="0048540D" w:rsidP="00676FC5">
      <w:pPr>
        <w:spacing w:before="120" w:line="340" w:lineRule="exact"/>
        <w:ind w:firstLine="567"/>
        <w:jc w:val="both"/>
        <w:rPr>
          <w:sz w:val="28"/>
          <w:szCs w:val="28"/>
        </w:rPr>
      </w:pPr>
      <w:r w:rsidRPr="006A0A1A">
        <w:rPr>
          <w:sz w:val="28"/>
          <w:szCs w:val="28"/>
        </w:rPr>
        <w:t>- Nâng cao nhận thức về trách nhiệm của cả hệ thống chính trị đối với việc giải quyết hậu quả chất độc hóa học do Mỹ tiến hành trong cuộc chiến tranh ở Việt Nam và công tác chăm sóc, giúp đỡ nạn nhân chất độc da cam/dioxin Việt Nam; xác định đây là nhiệm vụ của cả hệ thống chính trị và của toàn xã hội, là vấn đề vừa lâu dài, vừa quan trọng. Tăng cường công tác lãnh, chỉ đạo, thường xuyên theo dõi, kiểm tra của cấp ủy đảng đối với chính quyền và các tổ chức trong hệ thống chính trị các cấp về công tác chăm sóc và giúp đỡ nạn nhân chất độc da cam.</w:t>
      </w:r>
    </w:p>
    <w:p w14:paraId="5B68E06D" w14:textId="77777777" w:rsidR="0048540D" w:rsidRPr="006A0A1A" w:rsidRDefault="0048540D" w:rsidP="00676FC5">
      <w:pPr>
        <w:pStyle w:val="NormalWeb"/>
        <w:spacing w:before="120" w:beforeAutospacing="0" w:after="0" w:afterAutospacing="0" w:line="340" w:lineRule="exact"/>
        <w:ind w:firstLine="567"/>
        <w:jc w:val="both"/>
        <w:textAlignment w:val="baseline"/>
        <w:rPr>
          <w:sz w:val="28"/>
          <w:szCs w:val="28"/>
        </w:rPr>
      </w:pPr>
      <w:r w:rsidRPr="006A0A1A">
        <w:rPr>
          <w:sz w:val="28"/>
          <w:szCs w:val="28"/>
        </w:rPr>
        <w:t xml:space="preserve">- Ban Cán sự đảng Ủy ban nhân dân tỉnh chỉ đạo các sở, ban, ngành chức năng có kế hoạch cụ thể và phối hợp chặt chẽ với Hội Nạn nhân chất độc da cam/dioxin tỉnh tổ chức rà soát, thống kê, phân loại nắm chặt chẽ số lượng nạn nhân chất độc da cam trên địa bàn tỉnh và tình hình giải quyết chế độ, chính sách theo quy định đảm bảo đầy đủ, kịp thời, đúng và không bỏ sót đối tượng. </w:t>
      </w:r>
    </w:p>
    <w:p w14:paraId="61769FFE" w14:textId="77777777" w:rsidR="0048540D" w:rsidRPr="006A0A1A" w:rsidRDefault="0048540D" w:rsidP="00676FC5">
      <w:pPr>
        <w:pStyle w:val="NormalWeb"/>
        <w:spacing w:before="120" w:beforeAutospacing="0" w:after="0" w:afterAutospacing="0" w:line="340" w:lineRule="exact"/>
        <w:ind w:firstLine="567"/>
        <w:jc w:val="both"/>
        <w:textAlignment w:val="baseline"/>
        <w:rPr>
          <w:sz w:val="28"/>
          <w:szCs w:val="28"/>
        </w:rPr>
      </w:pPr>
      <w:r w:rsidRPr="006A0A1A">
        <w:rPr>
          <w:sz w:val="28"/>
          <w:szCs w:val="28"/>
        </w:rPr>
        <w:t>- Nghiên cứu, rà soát những hạn chế, bất cập trong việc thực hiện các chế độ, chính sách hiện hành đối với nạn nhân chất độc da cam để kịp thời đề xuất, kiến nghị với cấp có thẩm quyền sửa đổi, bổ sung cho phù hợp nhằm giải quyết kịp thời quyền lợi hợp pháp của nạn nhân chất độc da cam. Quan tâm hỗ trợ và tạo điều kiện thuận lợi về cơ sở vật chất, kinh phí, biên chế đảm bảo cho Hội các cấp hoạt động có hiệu quả, đáp ứng yêu cầu, nhiệm vụ được giao.</w:t>
      </w:r>
    </w:p>
    <w:p w14:paraId="1EE4D0C8" w14:textId="77777777" w:rsidR="0048540D" w:rsidRPr="006A0A1A" w:rsidRDefault="0048540D" w:rsidP="00676FC5">
      <w:pPr>
        <w:pStyle w:val="NormalWeb"/>
        <w:spacing w:before="120" w:beforeAutospacing="0" w:after="0" w:afterAutospacing="0" w:line="340" w:lineRule="exact"/>
        <w:ind w:firstLine="567"/>
        <w:jc w:val="both"/>
        <w:textAlignment w:val="baseline"/>
        <w:rPr>
          <w:sz w:val="28"/>
          <w:szCs w:val="28"/>
        </w:rPr>
      </w:pPr>
      <w:r w:rsidRPr="006A0A1A">
        <w:rPr>
          <w:sz w:val="28"/>
          <w:szCs w:val="28"/>
        </w:rPr>
        <w:t xml:space="preserve">- Đảng đoàn Mặt trận Tổ quốc, đoàn thể chính trị - xã hội tỉnh và các hội quần chúng quan tâm phối hợp chặt chẽ với Hội Nạn nhân chất độc da cam/dioxin tỉnh làm tốt công tác tuyên truyền, vận động các tổ chức, cơ quan, doanh nghiệp, các nhà hảo tâm và nhân dân chung tay góp phần giải quyết một số khó khăn trong cuộc sống và tạo điều kiện về mọi mặt cho nạn nhân bị nhiễm chất độc da cam/dioxin hòa nhập với cộng đồng. Tham gia giám sát việc thực hiện các chế độ chính sách đối với nạn nhân chất độc da cam/dioxin ở các cơ quan đơn vị, địa phương có liên quan. </w:t>
      </w:r>
    </w:p>
    <w:p w14:paraId="4B2A45A6" w14:textId="77777777" w:rsidR="0048540D" w:rsidRPr="006A0A1A" w:rsidRDefault="0048540D" w:rsidP="00676FC5">
      <w:pPr>
        <w:spacing w:before="120" w:line="340" w:lineRule="exact"/>
        <w:ind w:firstLine="567"/>
        <w:jc w:val="both"/>
        <w:rPr>
          <w:sz w:val="28"/>
          <w:szCs w:val="28"/>
        </w:rPr>
      </w:pPr>
      <w:r w:rsidRPr="006A0A1A">
        <w:rPr>
          <w:sz w:val="28"/>
          <w:szCs w:val="28"/>
        </w:rPr>
        <w:t xml:space="preserve">- Hội Nạn nhân chất độc da cam/dioxin các cấp trong tỉnh tiếp tục đổi mới nội dung, phương thức và nâng cao chất lượng hoạt động; bám sát chức năng nhiệm vụ được giao; tích cực, chủ động hơn nữa trong công tác tham mưu, đề xuất với cấp ủy, chính quyền quan tâm lãnh đạo, chỉ đạo giải quyết tốt việc chăm sóc, giúp đỡ nạn nhân chất độc da cam/dioxin, nhất là các nạn nhân mắc bệnh hiểm nghèo có hoàn cảnh khó khăn. Chủ động phối hợp với Mặt trận Tổ quốc, các đoàn thể tuyên truyền, vận động các tổ chức, cơ quan, đơn vị, doanh nghiệp, các nhà hảo tâm, cộng đồng xã hội giúp đỡ nạn nhân da cam/dioxin, tập trung nguồn lực xây dựng “Quỹ nạn nhân da cam”, góp phần chung tay xoa dịu nỗi đau da cam. </w:t>
      </w:r>
    </w:p>
    <w:p w14:paraId="2FBEC59A" w14:textId="77777777" w:rsidR="0048540D" w:rsidRPr="006A0A1A" w:rsidRDefault="0048540D" w:rsidP="0048540D">
      <w:pPr>
        <w:spacing w:before="120" w:line="360" w:lineRule="exact"/>
        <w:ind w:firstLine="567"/>
        <w:jc w:val="both"/>
        <w:rPr>
          <w:sz w:val="28"/>
          <w:szCs w:val="28"/>
        </w:rPr>
      </w:pPr>
      <w:r w:rsidRPr="006A0A1A">
        <w:rPr>
          <w:sz w:val="28"/>
          <w:szCs w:val="28"/>
        </w:rPr>
        <w:t>- Đẩy mạnh công tác tuyên truyền trong xã hội về những tấm gương vượt khó vươn lên của nạn nhân chất độc da cam và hoạt động của Hội nhằm nâng cao nhận thức, trách nhiệm của cả hệ thống chính trị và các tổ chức, cá nhân trong và ngoài nước các cấp hội và cộng đồng đối với tổ chức Hội, hội viên. Chăm lo xây dựng đội ngũ cán bộ các cấp hội đáp ứng yêu cầu, nhiệm vụ trong tình hình mới.</w:t>
      </w:r>
    </w:p>
    <w:p w14:paraId="44AF65AF" w14:textId="77777777" w:rsidR="0048540D" w:rsidRPr="006A0A1A" w:rsidRDefault="0048540D" w:rsidP="0048540D">
      <w:pPr>
        <w:spacing w:before="120" w:line="360" w:lineRule="exact"/>
        <w:ind w:firstLine="567"/>
        <w:jc w:val="both"/>
        <w:rPr>
          <w:sz w:val="28"/>
          <w:szCs w:val="28"/>
        </w:rPr>
      </w:pPr>
      <w:r w:rsidRPr="006A0A1A">
        <w:rPr>
          <w:sz w:val="28"/>
          <w:szCs w:val="28"/>
          <w:shd w:val="clear" w:color="auto" w:fill="FFFFFF"/>
        </w:rPr>
        <w:t>- Vận động các tổ chức, cá nhân, cơ quan doanh nghiệp, các nhà h</w:t>
      </w:r>
      <w:r>
        <w:rPr>
          <w:sz w:val="28"/>
          <w:szCs w:val="28"/>
          <w:shd w:val="clear" w:color="auto" w:fill="FFFFFF"/>
        </w:rPr>
        <w:t>ảo</w:t>
      </w:r>
      <w:r w:rsidRPr="006A0A1A">
        <w:rPr>
          <w:sz w:val="28"/>
          <w:szCs w:val="28"/>
          <w:shd w:val="clear" w:color="auto" w:fill="FFFFFF"/>
        </w:rPr>
        <w:t xml:space="preserve"> tâm và cộng đồng xã hội quan tâm ủng hộ, giúp đỡ các nạn nhân chất độc da cam/dioxin. Tập trung xây dựng Quỹ hội, góp phần chung tay xoa dịu "</w:t>
      </w:r>
      <w:r>
        <w:rPr>
          <w:sz w:val="28"/>
          <w:szCs w:val="28"/>
          <w:shd w:val="clear" w:color="auto" w:fill="FFFFFF"/>
        </w:rPr>
        <w:t>N</w:t>
      </w:r>
      <w:r w:rsidRPr="006A0A1A">
        <w:rPr>
          <w:sz w:val="28"/>
          <w:szCs w:val="28"/>
          <w:shd w:val="clear" w:color="auto" w:fill="FFFFFF"/>
        </w:rPr>
        <w:t>ỗi đau da cam". Tăng cường kiểm tra việc chấp hành điều lệ Hội, chấp hành các chính sách pháp luật của Nhà nước, đảm bảo hoạt động của Hội theo đúng tôn chỉ, mục đích và Điều lệ của Hội. Làm tốt vai trò giám sát, tư vấn việc triển khai thực hiện các chính sách của Đảng, Nhà nước đối với nạn nhân chất độc da cam/dioxin.</w:t>
      </w:r>
    </w:p>
    <w:p w14:paraId="17DCC205" w14:textId="77777777" w:rsidR="0048540D" w:rsidRPr="006A0A1A" w:rsidRDefault="0048540D" w:rsidP="0048540D">
      <w:pPr>
        <w:spacing w:before="120" w:line="360" w:lineRule="exact"/>
        <w:ind w:firstLine="567"/>
        <w:jc w:val="both"/>
        <w:rPr>
          <w:b/>
          <w:sz w:val="28"/>
          <w:szCs w:val="28"/>
        </w:rPr>
      </w:pPr>
      <w:r w:rsidRPr="006A0A1A">
        <w:rPr>
          <w:b/>
          <w:sz w:val="28"/>
          <w:szCs w:val="28"/>
        </w:rPr>
        <w:t>3. Kiến nghị, đề xuất</w:t>
      </w:r>
    </w:p>
    <w:p w14:paraId="0B0BEC52" w14:textId="77777777" w:rsidR="0048540D" w:rsidRPr="006A0A1A" w:rsidRDefault="0048540D" w:rsidP="0048540D">
      <w:pPr>
        <w:spacing w:before="120" w:line="360" w:lineRule="exact"/>
        <w:ind w:firstLine="567"/>
        <w:jc w:val="both"/>
        <w:rPr>
          <w:sz w:val="28"/>
          <w:szCs w:val="28"/>
        </w:rPr>
      </w:pPr>
      <w:r w:rsidRPr="006A0A1A">
        <w:rPr>
          <w:sz w:val="28"/>
          <w:szCs w:val="28"/>
        </w:rPr>
        <w:t>Chính phủ tiếp tục quan tâm, có lộ trình nâng mức chế độ ưu đãi đối với người có công, mức chuẩn trợ cấp đối với đối tượng bảo trợ xã hội cho phù hợp với sự phát triển của đời sống kinh tế xã hội hiện nay.</w:t>
      </w:r>
    </w:p>
    <w:p w14:paraId="6375C999" w14:textId="77777777" w:rsidR="0048540D" w:rsidRPr="006A0A1A" w:rsidRDefault="0048540D" w:rsidP="0048540D">
      <w:pPr>
        <w:spacing w:before="120" w:line="264" w:lineRule="auto"/>
        <w:ind w:firstLine="840"/>
        <w:jc w:val="both"/>
        <w:rPr>
          <w:bCs/>
          <w:iCs/>
          <w:sz w:val="28"/>
        </w:rPr>
      </w:pPr>
    </w:p>
    <w:tbl>
      <w:tblPr>
        <w:tblW w:w="9741" w:type="dxa"/>
        <w:tblLook w:val="01E0" w:firstRow="1" w:lastRow="1" w:firstColumn="1" w:lastColumn="1" w:noHBand="0" w:noVBand="0"/>
      </w:tblPr>
      <w:tblGrid>
        <w:gridCol w:w="5466"/>
        <w:gridCol w:w="4275"/>
      </w:tblGrid>
      <w:tr w:rsidR="0048540D" w:rsidRPr="006A0A1A" w14:paraId="35678E3B" w14:textId="77777777">
        <w:tc>
          <w:tcPr>
            <w:tcW w:w="5466" w:type="dxa"/>
          </w:tcPr>
          <w:p w14:paraId="38C3DB2F" w14:textId="77777777" w:rsidR="0048540D" w:rsidRPr="006A0A1A" w:rsidRDefault="0048540D" w:rsidP="00294E80">
            <w:pPr>
              <w:jc w:val="both"/>
              <w:rPr>
                <w:sz w:val="28"/>
                <w:szCs w:val="28"/>
                <w:u w:val="single"/>
              </w:rPr>
            </w:pPr>
            <w:r w:rsidRPr="006A0A1A">
              <w:rPr>
                <w:sz w:val="28"/>
                <w:szCs w:val="28"/>
                <w:u w:val="single"/>
              </w:rPr>
              <w:t>Nơi nhận:</w:t>
            </w:r>
          </w:p>
          <w:p w14:paraId="4CBC636E" w14:textId="77777777" w:rsidR="0048540D" w:rsidRPr="006A0A1A" w:rsidRDefault="0048540D" w:rsidP="00294E80">
            <w:pPr>
              <w:jc w:val="both"/>
              <w:rPr>
                <w:szCs w:val="28"/>
              </w:rPr>
            </w:pPr>
            <w:r w:rsidRPr="006A0A1A">
              <w:rPr>
                <w:szCs w:val="28"/>
              </w:rPr>
              <w:t>- Ban Dân vận Trung ương (để b/c),</w:t>
            </w:r>
          </w:p>
          <w:p w14:paraId="723F4621" w14:textId="77777777" w:rsidR="0048540D" w:rsidRPr="006A0A1A" w:rsidRDefault="0048540D" w:rsidP="00294E80">
            <w:pPr>
              <w:jc w:val="both"/>
              <w:rPr>
                <w:szCs w:val="28"/>
              </w:rPr>
            </w:pPr>
            <w:r w:rsidRPr="006A0A1A">
              <w:rPr>
                <w:szCs w:val="28"/>
              </w:rPr>
              <w:t>- Các đ/c Ủy viên Ban Chấp hành Đảng bộ tỉnh,</w:t>
            </w:r>
          </w:p>
          <w:p w14:paraId="007251A9" w14:textId="77777777" w:rsidR="0048540D" w:rsidRPr="006A0A1A" w:rsidRDefault="0048540D" w:rsidP="00294E80">
            <w:pPr>
              <w:jc w:val="both"/>
              <w:rPr>
                <w:szCs w:val="28"/>
              </w:rPr>
            </w:pPr>
            <w:r w:rsidRPr="006A0A1A">
              <w:rPr>
                <w:szCs w:val="28"/>
              </w:rPr>
              <w:t xml:space="preserve">- Các cơ quan tham mưu, giúp việc Tỉnh ủy, </w:t>
            </w:r>
          </w:p>
          <w:p w14:paraId="3CB362A3" w14:textId="77777777" w:rsidR="0048540D" w:rsidRPr="006A0A1A" w:rsidRDefault="0048540D" w:rsidP="00294E80">
            <w:pPr>
              <w:jc w:val="both"/>
              <w:rPr>
                <w:spacing w:val="-6"/>
                <w:szCs w:val="28"/>
              </w:rPr>
            </w:pPr>
            <w:r w:rsidRPr="006A0A1A">
              <w:rPr>
                <w:spacing w:val="-6"/>
                <w:szCs w:val="28"/>
              </w:rPr>
              <w:t xml:space="preserve">- Ban </w:t>
            </w:r>
            <w:r w:rsidRPr="006A0A1A">
              <w:rPr>
                <w:spacing w:val="-6"/>
                <w:szCs w:val="28"/>
                <w:lang w:val="vi-VN"/>
              </w:rPr>
              <w:t>c</w:t>
            </w:r>
            <w:r w:rsidRPr="006A0A1A">
              <w:rPr>
                <w:spacing w:val="-6"/>
                <w:szCs w:val="28"/>
              </w:rPr>
              <w:t>án sự đảng, đảng đoàn, Ban Thường vụ Tỉnh đoàn,</w:t>
            </w:r>
          </w:p>
          <w:p w14:paraId="48DBE16E" w14:textId="77777777" w:rsidR="0048540D" w:rsidRPr="006A0A1A" w:rsidRDefault="0048540D" w:rsidP="00294E80">
            <w:pPr>
              <w:jc w:val="both"/>
              <w:rPr>
                <w:szCs w:val="28"/>
              </w:rPr>
            </w:pPr>
            <w:r w:rsidRPr="006A0A1A">
              <w:rPr>
                <w:szCs w:val="28"/>
              </w:rPr>
              <w:t>- Các sở, ban, ngành,</w:t>
            </w:r>
          </w:p>
          <w:p w14:paraId="36641293" w14:textId="77777777" w:rsidR="0048540D" w:rsidRPr="006A0A1A" w:rsidRDefault="0048540D" w:rsidP="00294E80">
            <w:pPr>
              <w:jc w:val="both"/>
              <w:rPr>
                <w:szCs w:val="28"/>
              </w:rPr>
            </w:pPr>
            <w:r w:rsidRPr="006A0A1A">
              <w:rPr>
                <w:szCs w:val="28"/>
              </w:rPr>
              <w:t>- Các huyện, thị, thành ủy và tương đương,</w:t>
            </w:r>
          </w:p>
          <w:p w14:paraId="38297489" w14:textId="77777777" w:rsidR="0048540D" w:rsidRPr="006A0A1A" w:rsidRDefault="0048540D" w:rsidP="00294E80">
            <w:pPr>
              <w:rPr>
                <w:sz w:val="28"/>
                <w:szCs w:val="28"/>
              </w:rPr>
            </w:pPr>
            <w:r w:rsidRPr="006A0A1A">
              <w:rPr>
                <w:szCs w:val="28"/>
              </w:rPr>
              <w:t>- Lưu VPTU.</w:t>
            </w:r>
          </w:p>
          <w:p w14:paraId="29686B29" w14:textId="77777777" w:rsidR="0048540D" w:rsidRPr="006A0A1A" w:rsidRDefault="0048540D" w:rsidP="00294E80"/>
        </w:tc>
        <w:tc>
          <w:tcPr>
            <w:tcW w:w="4275" w:type="dxa"/>
          </w:tcPr>
          <w:p w14:paraId="25E3D0FF" w14:textId="77777777" w:rsidR="0048540D" w:rsidRPr="006A0A1A" w:rsidRDefault="0048540D" w:rsidP="00294E80">
            <w:pPr>
              <w:jc w:val="center"/>
              <w:rPr>
                <w:b/>
                <w:sz w:val="28"/>
                <w:szCs w:val="28"/>
              </w:rPr>
            </w:pPr>
            <w:r w:rsidRPr="006A0A1A">
              <w:rPr>
                <w:b/>
                <w:sz w:val="28"/>
                <w:szCs w:val="28"/>
              </w:rPr>
              <w:t>T/M BAN THƯỜNG VỤ</w:t>
            </w:r>
          </w:p>
          <w:p w14:paraId="2FD59CF5" w14:textId="77777777" w:rsidR="0048540D" w:rsidRPr="006A0A1A" w:rsidRDefault="0048540D" w:rsidP="00294E80">
            <w:pPr>
              <w:jc w:val="center"/>
              <w:rPr>
                <w:sz w:val="28"/>
                <w:szCs w:val="28"/>
              </w:rPr>
            </w:pPr>
            <w:r w:rsidRPr="006A0A1A">
              <w:rPr>
                <w:sz w:val="28"/>
                <w:szCs w:val="28"/>
              </w:rPr>
              <w:t>BÍ THƯ</w:t>
            </w:r>
          </w:p>
          <w:p w14:paraId="30F32012" w14:textId="77777777" w:rsidR="0048540D" w:rsidRPr="006A0A1A" w:rsidRDefault="0048540D" w:rsidP="00294E80">
            <w:pPr>
              <w:jc w:val="center"/>
              <w:rPr>
                <w:sz w:val="28"/>
                <w:szCs w:val="28"/>
              </w:rPr>
            </w:pPr>
          </w:p>
          <w:p w14:paraId="7A222DCC" w14:textId="77777777" w:rsidR="0048540D" w:rsidRPr="006A0A1A" w:rsidRDefault="0048540D" w:rsidP="00294E80">
            <w:pPr>
              <w:jc w:val="center"/>
              <w:rPr>
                <w:b/>
                <w:sz w:val="28"/>
                <w:szCs w:val="28"/>
              </w:rPr>
            </w:pPr>
          </w:p>
          <w:p w14:paraId="0C43F475" w14:textId="77777777" w:rsidR="0048540D" w:rsidRPr="006A0A1A" w:rsidRDefault="0048540D" w:rsidP="00294E80">
            <w:pPr>
              <w:rPr>
                <w:b/>
                <w:sz w:val="28"/>
                <w:szCs w:val="28"/>
              </w:rPr>
            </w:pPr>
          </w:p>
          <w:p w14:paraId="2605DE09" w14:textId="77777777" w:rsidR="0048540D" w:rsidRPr="006A0A1A" w:rsidRDefault="0048540D" w:rsidP="00294E80">
            <w:pPr>
              <w:rPr>
                <w:b/>
                <w:sz w:val="28"/>
                <w:szCs w:val="28"/>
              </w:rPr>
            </w:pPr>
          </w:p>
          <w:p w14:paraId="4A23B538" w14:textId="77777777" w:rsidR="0048540D" w:rsidRPr="006A0A1A" w:rsidRDefault="0048540D" w:rsidP="00294E80">
            <w:pPr>
              <w:rPr>
                <w:b/>
                <w:sz w:val="28"/>
                <w:szCs w:val="28"/>
              </w:rPr>
            </w:pPr>
          </w:p>
          <w:p w14:paraId="56EBF6CA" w14:textId="77777777" w:rsidR="0048540D" w:rsidRPr="006A0A1A" w:rsidRDefault="0048540D" w:rsidP="00294E80">
            <w:pPr>
              <w:jc w:val="center"/>
              <w:rPr>
                <w:b/>
              </w:rPr>
            </w:pPr>
          </w:p>
        </w:tc>
      </w:tr>
    </w:tbl>
    <w:p w14:paraId="60C84805" w14:textId="77777777" w:rsidR="00F95004" w:rsidRPr="00C41C32" w:rsidRDefault="00F95004" w:rsidP="00F95004">
      <w:pPr>
        <w:spacing w:line="264" w:lineRule="auto"/>
        <w:ind w:firstLine="720"/>
        <w:jc w:val="both"/>
        <w:rPr>
          <w:b/>
          <w:sz w:val="28"/>
          <w:szCs w:val="28"/>
        </w:rPr>
      </w:pPr>
    </w:p>
    <w:p w14:paraId="7E7FD8CE" w14:textId="77777777" w:rsidR="00F95004" w:rsidRPr="00C41C32" w:rsidRDefault="00F95004" w:rsidP="00F95004">
      <w:pPr>
        <w:spacing w:before="120" w:line="264" w:lineRule="auto"/>
        <w:jc w:val="both"/>
        <w:rPr>
          <w:sz w:val="28"/>
          <w:szCs w:val="28"/>
        </w:rPr>
      </w:pPr>
    </w:p>
    <w:p w14:paraId="09AD53BF" w14:textId="77777777" w:rsidR="00515646" w:rsidRPr="00C41C32" w:rsidRDefault="00515646" w:rsidP="00C41C32">
      <w:pPr>
        <w:spacing w:line="264" w:lineRule="auto"/>
        <w:ind w:firstLine="720"/>
        <w:jc w:val="both"/>
        <w:rPr>
          <w:b/>
          <w:sz w:val="28"/>
          <w:szCs w:val="28"/>
        </w:rPr>
      </w:pPr>
    </w:p>
    <w:p w14:paraId="59727212" w14:textId="77777777" w:rsidR="003F34D8" w:rsidRPr="00C41C32" w:rsidRDefault="003F34D8" w:rsidP="00CE4851">
      <w:pPr>
        <w:spacing w:before="120" w:line="264" w:lineRule="auto"/>
        <w:jc w:val="both"/>
        <w:rPr>
          <w:sz w:val="28"/>
          <w:szCs w:val="28"/>
        </w:rPr>
      </w:pPr>
    </w:p>
    <w:sectPr w:rsidR="003F34D8" w:rsidRPr="00C41C32" w:rsidSect="001A0C65">
      <w:headerReference w:type="even" r:id="rId8"/>
      <w:footerReference w:type="even" r:id="rId9"/>
      <w:pgSz w:w="11907" w:h="16840" w:code="9"/>
      <w:pgMar w:top="1134" w:right="851" w:bottom="851" w:left="1418"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6046" w14:textId="77777777" w:rsidR="00A832C5" w:rsidRDefault="00A832C5">
      <w:r>
        <w:separator/>
      </w:r>
    </w:p>
  </w:endnote>
  <w:endnote w:type="continuationSeparator" w:id="0">
    <w:p w14:paraId="00B4A011" w14:textId="77777777" w:rsidR="00A832C5" w:rsidRDefault="00A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382B" w14:textId="77777777" w:rsidR="007E514B" w:rsidRDefault="007E514B" w:rsidP="006C20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5CE9F" w14:textId="77777777" w:rsidR="007E514B" w:rsidRDefault="007E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86DC" w14:textId="77777777" w:rsidR="00A832C5" w:rsidRDefault="00A832C5">
      <w:r>
        <w:separator/>
      </w:r>
    </w:p>
  </w:footnote>
  <w:footnote w:type="continuationSeparator" w:id="0">
    <w:p w14:paraId="79FAA4B7" w14:textId="77777777" w:rsidR="00A832C5" w:rsidRDefault="00A832C5">
      <w:r>
        <w:continuationSeparator/>
      </w:r>
    </w:p>
  </w:footnote>
  <w:footnote w:id="1">
    <w:p w14:paraId="5A0A7B96" w14:textId="77777777" w:rsidR="0048540D" w:rsidRPr="002A5F58" w:rsidRDefault="0048540D" w:rsidP="0048540D">
      <w:pPr>
        <w:pStyle w:val="FootnoteText"/>
        <w:ind w:firstLine="567"/>
        <w:jc w:val="both"/>
        <w:rPr>
          <w:rFonts w:ascii="Times New Roman" w:hAnsi="Times New Roman"/>
        </w:rPr>
      </w:pPr>
      <w:r w:rsidRPr="002A5F58">
        <w:rPr>
          <w:rStyle w:val="FootnoteReference"/>
          <w:rFonts w:ascii="Times New Roman" w:hAnsi="Times New Roman"/>
        </w:rPr>
        <w:t>[</w:t>
      </w:r>
      <w:r w:rsidRPr="002A5F58">
        <w:rPr>
          <w:rStyle w:val="FootnoteReference"/>
          <w:rFonts w:ascii="Times New Roman" w:hAnsi="Times New Roman"/>
        </w:rPr>
        <w:footnoteRef/>
      </w:r>
      <w:r w:rsidRPr="002A5F58">
        <w:rPr>
          <w:rFonts w:ascii="Times New Roman" w:hAnsi="Times New Roman"/>
          <w:vertAlign w:val="superscript"/>
          <w:lang w:val="vi-VN"/>
        </w:rPr>
        <w:t>]</w:t>
      </w:r>
      <w:r w:rsidRPr="002A5F58">
        <w:rPr>
          <w:rFonts w:ascii="Times New Roman" w:hAnsi="Times New Roman"/>
        </w:rPr>
        <w:t xml:space="preserve"> Tính đến tháng 04/2024, toàn tỉnh đang thực hiện trợ cấp hàng tháng cho 7.371 người khuyết tật mức độ đặc biệt nặng và 14.469 người khuyết tật mức độ nặng (trong đó có nạn nhân chất độc da cam/dioxin).</w:t>
      </w:r>
    </w:p>
  </w:footnote>
  <w:footnote w:id="2">
    <w:p w14:paraId="5F3420C7" w14:textId="77777777" w:rsidR="0048540D" w:rsidRPr="002A5F58" w:rsidRDefault="0048540D" w:rsidP="0048540D">
      <w:pPr>
        <w:pStyle w:val="FootnoteText"/>
        <w:ind w:firstLine="567"/>
        <w:jc w:val="both"/>
        <w:rPr>
          <w:rFonts w:ascii="Times New Roman" w:hAnsi="Times New Roman"/>
        </w:rPr>
      </w:pPr>
      <w:r w:rsidRPr="002A5F58">
        <w:rPr>
          <w:rStyle w:val="FootnoteReference"/>
        </w:rPr>
        <w:t>[</w:t>
      </w:r>
      <w:r w:rsidRPr="002A5F58">
        <w:rPr>
          <w:rStyle w:val="FootnoteReference"/>
          <w:rFonts w:ascii="Times New Roman" w:hAnsi="Times New Roman"/>
        </w:rPr>
        <w:footnoteRef/>
      </w:r>
      <w:r w:rsidRPr="002A5F58">
        <w:rPr>
          <w:rStyle w:val="FootnoteReference"/>
          <w:rFonts w:ascii="Calibri" w:hAnsi="Calibri" w:cs="Calibri"/>
          <w:lang w:val="vi-VN"/>
        </w:rPr>
        <w:t>]</w:t>
      </w:r>
      <w:r w:rsidRPr="002A5F58">
        <w:rPr>
          <w:rFonts w:ascii="Times New Roman" w:hAnsi="Times New Roman"/>
        </w:rPr>
        <w:t xml:space="preserve"> Hội Chữ thập đỏ tỉnh đã vận động số tiền khoảng 20,382 tỷ động; Hội nạn nhân chất độc da cam/dioxin các cấp đã vận động trong giai đoạn 2012 - 2024 được khoảng 144,6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BE73" w14:textId="77777777" w:rsidR="007E514B" w:rsidRDefault="007E514B" w:rsidP="00E77C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A297A" w14:textId="77777777" w:rsidR="007E514B" w:rsidRDefault="007E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36A0"/>
    <w:multiLevelType w:val="hybridMultilevel"/>
    <w:tmpl w:val="61846D7C"/>
    <w:lvl w:ilvl="0" w:tplc="0A5EF9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A512247"/>
    <w:multiLevelType w:val="hybridMultilevel"/>
    <w:tmpl w:val="40FA249C"/>
    <w:lvl w:ilvl="0" w:tplc="E4226C4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4284348">
    <w:abstractNumId w:val="0"/>
  </w:num>
  <w:num w:numId="2" w16cid:durableId="89793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B3"/>
    <w:rsid w:val="0000227A"/>
    <w:rsid w:val="00006DEC"/>
    <w:rsid w:val="0001017F"/>
    <w:rsid w:val="0001067B"/>
    <w:rsid w:val="000131CF"/>
    <w:rsid w:val="00020268"/>
    <w:rsid w:val="000204A0"/>
    <w:rsid w:val="00024CC6"/>
    <w:rsid w:val="00033B18"/>
    <w:rsid w:val="000340E2"/>
    <w:rsid w:val="000401A8"/>
    <w:rsid w:val="0005292F"/>
    <w:rsid w:val="00060089"/>
    <w:rsid w:val="000704B3"/>
    <w:rsid w:val="00080D89"/>
    <w:rsid w:val="000846CE"/>
    <w:rsid w:val="000860EE"/>
    <w:rsid w:val="00086A60"/>
    <w:rsid w:val="00097D7E"/>
    <w:rsid w:val="000A5800"/>
    <w:rsid w:val="000A6AAB"/>
    <w:rsid w:val="000A6BA2"/>
    <w:rsid w:val="000B17B2"/>
    <w:rsid w:val="000B4D4F"/>
    <w:rsid w:val="000B5DCD"/>
    <w:rsid w:val="000B6312"/>
    <w:rsid w:val="000B788A"/>
    <w:rsid w:val="000B7C68"/>
    <w:rsid w:val="000C1533"/>
    <w:rsid w:val="000C6FBE"/>
    <w:rsid w:val="000C71AC"/>
    <w:rsid w:val="000D1DE3"/>
    <w:rsid w:val="000D56F7"/>
    <w:rsid w:val="000E02A5"/>
    <w:rsid w:val="000E0B2F"/>
    <w:rsid w:val="000F1160"/>
    <w:rsid w:val="000F1909"/>
    <w:rsid w:val="000F2167"/>
    <w:rsid w:val="000F726A"/>
    <w:rsid w:val="000F793E"/>
    <w:rsid w:val="00107772"/>
    <w:rsid w:val="00107F7E"/>
    <w:rsid w:val="001105F4"/>
    <w:rsid w:val="00113983"/>
    <w:rsid w:val="00113CDB"/>
    <w:rsid w:val="00113DC7"/>
    <w:rsid w:val="0011623D"/>
    <w:rsid w:val="00116584"/>
    <w:rsid w:val="00122278"/>
    <w:rsid w:val="00124B6D"/>
    <w:rsid w:val="00127CCB"/>
    <w:rsid w:val="00137C2B"/>
    <w:rsid w:val="00144EF9"/>
    <w:rsid w:val="00150058"/>
    <w:rsid w:val="00150D9B"/>
    <w:rsid w:val="00153180"/>
    <w:rsid w:val="001543DF"/>
    <w:rsid w:val="001579BF"/>
    <w:rsid w:val="00157D16"/>
    <w:rsid w:val="001609DF"/>
    <w:rsid w:val="00161076"/>
    <w:rsid w:val="0016486C"/>
    <w:rsid w:val="0016761B"/>
    <w:rsid w:val="0017044D"/>
    <w:rsid w:val="001803BF"/>
    <w:rsid w:val="001A0C65"/>
    <w:rsid w:val="001A7811"/>
    <w:rsid w:val="001B62FE"/>
    <w:rsid w:val="001D4135"/>
    <w:rsid w:val="001D41E5"/>
    <w:rsid w:val="001D6209"/>
    <w:rsid w:val="001D6FE4"/>
    <w:rsid w:val="001E54B8"/>
    <w:rsid w:val="001F1288"/>
    <w:rsid w:val="0020402E"/>
    <w:rsid w:val="00230DDD"/>
    <w:rsid w:val="00232629"/>
    <w:rsid w:val="00245AE5"/>
    <w:rsid w:val="00250621"/>
    <w:rsid w:val="0025158A"/>
    <w:rsid w:val="00254A8D"/>
    <w:rsid w:val="0025689F"/>
    <w:rsid w:val="00257EC9"/>
    <w:rsid w:val="00262B9C"/>
    <w:rsid w:val="002641BC"/>
    <w:rsid w:val="00264DDC"/>
    <w:rsid w:val="002745E0"/>
    <w:rsid w:val="002770DC"/>
    <w:rsid w:val="0028136F"/>
    <w:rsid w:val="002814F2"/>
    <w:rsid w:val="00283C47"/>
    <w:rsid w:val="00294E80"/>
    <w:rsid w:val="002A3774"/>
    <w:rsid w:val="002A5539"/>
    <w:rsid w:val="002A5E88"/>
    <w:rsid w:val="002A5F58"/>
    <w:rsid w:val="002B2B16"/>
    <w:rsid w:val="002B3C9C"/>
    <w:rsid w:val="002C281B"/>
    <w:rsid w:val="002C6742"/>
    <w:rsid w:val="002D03FC"/>
    <w:rsid w:val="002D3B7B"/>
    <w:rsid w:val="002D6982"/>
    <w:rsid w:val="002D6FAD"/>
    <w:rsid w:val="002E1DB5"/>
    <w:rsid w:val="002E687C"/>
    <w:rsid w:val="002F5FB6"/>
    <w:rsid w:val="002F70CD"/>
    <w:rsid w:val="003015DA"/>
    <w:rsid w:val="003063FF"/>
    <w:rsid w:val="00310412"/>
    <w:rsid w:val="0031300A"/>
    <w:rsid w:val="00314EAF"/>
    <w:rsid w:val="003204CA"/>
    <w:rsid w:val="00320B8D"/>
    <w:rsid w:val="0032673B"/>
    <w:rsid w:val="00342B8E"/>
    <w:rsid w:val="003521ED"/>
    <w:rsid w:val="0035377F"/>
    <w:rsid w:val="00360C86"/>
    <w:rsid w:val="003625EF"/>
    <w:rsid w:val="003675CF"/>
    <w:rsid w:val="00367906"/>
    <w:rsid w:val="0037087C"/>
    <w:rsid w:val="0038165D"/>
    <w:rsid w:val="00381915"/>
    <w:rsid w:val="00385D13"/>
    <w:rsid w:val="00387D00"/>
    <w:rsid w:val="00391122"/>
    <w:rsid w:val="003A1AFA"/>
    <w:rsid w:val="003A1E28"/>
    <w:rsid w:val="003C052B"/>
    <w:rsid w:val="003C1097"/>
    <w:rsid w:val="003C3D09"/>
    <w:rsid w:val="003C6B44"/>
    <w:rsid w:val="003C6BBC"/>
    <w:rsid w:val="003C7F30"/>
    <w:rsid w:val="003D0861"/>
    <w:rsid w:val="003D12AC"/>
    <w:rsid w:val="003D2A0D"/>
    <w:rsid w:val="003D36E6"/>
    <w:rsid w:val="003D435E"/>
    <w:rsid w:val="003D4701"/>
    <w:rsid w:val="003D519D"/>
    <w:rsid w:val="003E180F"/>
    <w:rsid w:val="003E3AC7"/>
    <w:rsid w:val="003E4FE7"/>
    <w:rsid w:val="003F2491"/>
    <w:rsid w:val="003F34D8"/>
    <w:rsid w:val="00401670"/>
    <w:rsid w:val="004039B3"/>
    <w:rsid w:val="0040622E"/>
    <w:rsid w:val="004100DD"/>
    <w:rsid w:val="00414682"/>
    <w:rsid w:val="00414C12"/>
    <w:rsid w:val="004238DB"/>
    <w:rsid w:val="0042549D"/>
    <w:rsid w:val="00432DD6"/>
    <w:rsid w:val="00435FA2"/>
    <w:rsid w:val="00442821"/>
    <w:rsid w:val="0044385E"/>
    <w:rsid w:val="00444976"/>
    <w:rsid w:val="0044535C"/>
    <w:rsid w:val="004568D8"/>
    <w:rsid w:val="00464C9B"/>
    <w:rsid w:val="00465975"/>
    <w:rsid w:val="00473A01"/>
    <w:rsid w:val="004804C5"/>
    <w:rsid w:val="00481C6C"/>
    <w:rsid w:val="00483713"/>
    <w:rsid w:val="0048483C"/>
    <w:rsid w:val="0048540D"/>
    <w:rsid w:val="004A066F"/>
    <w:rsid w:val="004A3463"/>
    <w:rsid w:val="004A3CBA"/>
    <w:rsid w:val="004A72B7"/>
    <w:rsid w:val="004B0C25"/>
    <w:rsid w:val="004B1937"/>
    <w:rsid w:val="004B36FC"/>
    <w:rsid w:val="004C0C77"/>
    <w:rsid w:val="004C1E27"/>
    <w:rsid w:val="004C386A"/>
    <w:rsid w:val="004E03E6"/>
    <w:rsid w:val="004E0B73"/>
    <w:rsid w:val="004E2624"/>
    <w:rsid w:val="004F32A8"/>
    <w:rsid w:val="004F3618"/>
    <w:rsid w:val="004F3804"/>
    <w:rsid w:val="004F77A0"/>
    <w:rsid w:val="00500319"/>
    <w:rsid w:val="00515646"/>
    <w:rsid w:val="00516D42"/>
    <w:rsid w:val="00522663"/>
    <w:rsid w:val="005226A7"/>
    <w:rsid w:val="00524CD9"/>
    <w:rsid w:val="00527A1D"/>
    <w:rsid w:val="0053359E"/>
    <w:rsid w:val="005400AD"/>
    <w:rsid w:val="0056267D"/>
    <w:rsid w:val="00567ECF"/>
    <w:rsid w:val="00570D52"/>
    <w:rsid w:val="005731CC"/>
    <w:rsid w:val="00577EE3"/>
    <w:rsid w:val="0059232E"/>
    <w:rsid w:val="00594AE7"/>
    <w:rsid w:val="005A2D86"/>
    <w:rsid w:val="005A5B68"/>
    <w:rsid w:val="005B0893"/>
    <w:rsid w:val="005B10A8"/>
    <w:rsid w:val="005B322A"/>
    <w:rsid w:val="005B3B06"/>
    <w:rsid w:val="005B74FC"/>
    <w:rsid w:val="005C0BFC"/>
    <w:rsid w:val="005C5FC0"/>
    <w:rsid w:val="005C739B"/>
    <w:rsid w:val="005D34A8"/>
    <w:rsid w:val="005D6218"/>
    <w:rsid w:val="005D7F6E"/>
    <w:rsid w:val="005E0868"/>
    <w:rsid w:val="005E3464"/>
    <w:rsid w:val="005E5E97"/>
    <w:rsid w:val="005F3026"/>
    <w:rsid w:val="005F31FF"/>
    <w:rsid w:val="005F7D24"/>
    <w:rsid w:val="00600636"/>
    <w:rsid w:val="0061500D"/>
    <w:rsid w:val="006157AB"/>
    <w:rsid w:val="00617303"/>
    <w:rsid w:val="0061782C"/>
    <w:rsid w:val="00621732"/>
    <w:rsid w:val="00622DD5"/>
    <w:rsid w:val="00635F10"/>
    <w:rsid w:val="00640FF4"/>
    <w:rsid w:val="00643186"/>
    <w:rsid w:val="006467E3"/>
    <w:rsid w:val="0065100C"/>
    <w:rsid w:val="006511B1"/>
    <w:rsid w:val="0065609B"/>
    <w:rsid w:val="00657276"/>
    <w:rsid w:val="00662748"/>
    <w:rsid w:val="0066321A"/>
    <w:rsid w:val="00673190"/>
    <w:rsid w:val="00673ECC"/>
    <w:rsid w:val="00676614"/>
    <w:rsid w:val="00676FC5"/>
    <w:rsid w:val="006815EA"/>
    <w:rsid w:val="00682039"/>
    <w:rsid w:val="00687DD4"/>
    <w:rsid w:val="006911D8"/>
    <w:rsid w:val="00693AA7"/>
    <w:rsid w:val="00694874"/>
    <w:rsid w:val="006A3FCA"/>
    <w:rsid w:val="006A4D4F"/>
    <w:rsid w:val="006C0F7B"/>
    <w:rsid w:val="006C2093"/>
    <w:rsid w:val="006C5355"/>
    <w:rsid w:val="006C7D0F"/>
    <w:rsid w:val="006D0017"/>
    <w:rsid w:val="006D1846"/>
    <w:rsid w:val="006D699E"/>
    <w:rsid w:val="006E1F7E"/>
    <w:rsid w:val="006E3CB1"/>
    <w:rsid w:val="006F3445"/>
    <w:rsid w:val="00707D81"/>
    <w:rsid w:val="007108BF"/>
    <w:rsid w:val="007151F4"/>
    <w:rsid w:val="00723B73"/>
    <w:rsid w:val="007351FC"/>
    <w:rsid w:val="007414ED"/>
    <w:rsid w:val="00741C95"/>
    <w:rsid w:val="00743982"/>
    <w:rsid w:val="00755279"/>
    <w:rsid w:val="007554F1"/>
    <w:rsid w:val="00755EB2"/>
    <w:rsid w:val="007568BD"/>
    <w:rsid w:val="00760098"/>
    <w:rsid w:val="007606F9"/>
    <w:rsid w:val="0077279D"/>
    <w:rsid w:val="00780658"/>
    <w:rsid w:val="00782788"/>
    <w:rsid w:val="007838D1"/>
    <w:rsid w:val="00783F21"/>
    <w:rsid w:val="007867FB"/>
    <w:rsid w:val="00791B13"/>
    <w:rsid w:val="007B6B84"/>
    <w:rsid w:val="007C5CA5"/>
    <w:rsid w:val="007D05A3"/>
    <w:rsid w:val="007D6F17"/>
    <w:rsid w:val="007E514B"/>
    <w:rsid w:val="007E5AF5"/>
    <w:rsid w:val="007E60D0"/>
    <w:rsid w:val="007F1ECC"/>
    <w:rsid w:val="007F49F2"/>
    <w:rsid w:val="007F6D23"/>
    <w:rsid w:val="007F70B7"/>
    <w:rsid w:val="00801C01"/>
    <w:rsid w:val="0081005F"/>
    <w:rsid w:val="008163BE"/>
    <w:rsid w:val="00821776"/>
    <w:rsid w:val="00821AB6"/>
    <w:rsid w:val="00825B13"/>
    <w:rsid w:val="00833D44"/>
    <w:rsid w:val="00836373"/>
    <w:rsid w:val="008404A9"/>
    <w:rsid w:val="00840AE0"/>
    <w:rsid w:val="00842189"/>
    <w:rsid w:val="00847173"/>
    <w:rsid w:val="008518FC"/>
    <w:rsid w:val="00861765"/>
    <w:rsid w:val="0086278F"/>
    <w:rsid w:val="00863879"/>
    <w:rsid w:val="008741CF"/>
    <w:rsid w:val="008756B1"/>
    <w:rsid w:val="00875E00"/>
    <w:rsid w:val="008821A7"/>
    <w:rsid w:val="00885EDA"/>
    <w:rsid w:val="00895669"/>
    <w:rsid w:val="008A0E2A"/>
    <w:rsid w:val="008A3E82"/>
    <w:rsid w:val="008A5E43"/>
    <w:rsid w:val="008A5E58"/>
    <w:rsid w:val="008A5FE9"/>
    <w:rsid w:val="008B16EF"/>
    <w:rsid w:val="008B2D90"/>
    <w:rsid w:val="008B47B0"/>
    <w:rsid w:val="008B6402"/>
    <w:rsid w:val="008C605F"/>
    <w:rsid w:val="008C6B7A"/>
    <w:rsid w:val="008C7FA5"/>
    <w:rsid w:val="008E385B"/>
    <w:rsid w:val="008E437A"/>
    <w:rsid w:val="008F71AC"/>
    <w:rsid w:val="009003FE"/>
    <w:rsid w:val="00900BC6"/>
    <w:rsid w:val="00902260"/>
    <w:rsid w:val="00904854"/>
    <w:rsid w:val="00910625"/>
    <w:rsid w:val="00911F53"/>
    <w:rsid w:val="0091223B"/>
    <w:rsid w:val="0092237A"/>
    <w:rsid w:val="00925597"/>
    <w:rsid w:val="00930110"/>
    <w:rsid w:val="009319D4"/>
    <w:rsid w:val="0094068D"/>
    <w:rsid w:val="00943A72"/>
    <w:rsid w:val="00961D1D"/>
    <w:rsid w:val="00962CBD"/>
    <w:rsid w:val="009674BE"/>
    <w:rsid w:val="009675D8"/>
    <w:rsid w:val="00971B54"/>
    <w:rsid w:val="009841F9"/>
    <w:rsid w:val="009846B0"/>
    <w:rsid w:val="009958E3"/>
    <w:rsid w:val="009970BB"/>
    <w:rsid w:val="009A1703"/>
    <w:rsid w:val="009B52E1"/>
    <w:rsid w:val="009B697A"/>
    <w:rsid w:val="009B7019"/>
    <w:rsid w:val="009C4FE8"/>
    <w:rsid w:val="009D09CA"/>
    <w:rsid w:val="009D24FC"/>
    <w:rsid w:val="009D716D"/>
    <w:rsid w:val="009D73BC"/>
    <w:rsid w:val="009D7C49"/>
    <w:rsid w:val="00A04696"/>
    <w:rsid w:val="00A11164"/>
    <w:rsid w:val="00A13DE6"/>
    <w:rsid w:val="00A14002"/>
    <w:rsid w:val="00A21F30"/>
    <w:rsid w:val="00A233DF"/>
    <w:rsid w:val="00A2564F"/>
    <w:rsid w:val="00A42512"/>
    <w:rsid w:val="00A453F1"/>
    <w:rsid w:val="00A46FEC"/>
    <w:rsid w:val="00A50370"/>
    <w:rsid w:val="00A63446"/>
    <w:rsid w:val="00A65036"/>
    <w:rsid w:val="00A66B6D"/>
    <w:rsid w:val="00A6721A"/>
    <w:rsid w:val="00A80699"/>
    <w:rsid w:val="00A832C5"/>
    <w:rsid w:val="00A83E7A"/>
    <w:rsid w:val="00A87CEA"/>
    <w:rsid w:val="00A908D4"/>
    <w:rsid w:val="00A960FB"/>
    <w:rsid w:val="00A96211"/>
    <w:rsid w:val="00A9792B"/>
    <w:rsid w:val="00AA5C05"/>
    <w:rsid w:val="00AA62AE"/>
    <w:rsid w:val="00AA7143"/>
    <w:rsid w:val="00AB3DB0"/>
    <w:rsid w:val="00AB6F3E"/>
    <w:rsid w:val="00AB7B58"/>
    <w:rsid w:val="00AB7FEF"/>
    <w:rsid w:val="00AC35C1"/>
    <w:rsid w:val="00AC7190"/>
    <w:rsid w:val="00AC7498"/>
    <w:rsid w:val="00AD1630"/>
    <w:rsid w:val="00AE109D"/>
    <w:rsid w:val="00AE57D3"/>
    <w:rsid w:val="00AE7E77"/>
    <w:rsid w:val="00AF1C51"/>
    <w:rsid w:val="00AF281D"/>
    <w:rsid w:val="00AF64EE"/>
    <w:rsid w:val="00B0275C"/>
    <w:rsid w:val="00B02992"/>
    <w:rsid w:val="00B136DB"/>
    <w:rsid w:val="00B1664B"/>
    <w:rsid w:val="00B34B4B"/>
    <w:rsid w:val="00B40153"/>
    <w:rsid w:val="00B421DB"/>
    <w:rsid w:val="00B511E4"/>
    <w:rsid w:val="00B53681"/>
    <w:rsid w:val="00B55E46"/>
    <w:rsid w:val="00B6464F"/>
    <w:rsid w:val="00B73F90"/>
    <w:rsid w:val="00B741DA"/>
    <w:rsid w:val="00B76AB1"/>
    <w:rsid w:val="00B85059"/>
    <w:rsid w:val="00B864FD"/>
    <w:rsid w:val="00B907A1"/>
    <w:rsid w:val="00B96184"/>
    <w:rsid w:val="00BA061F"/>
    <w:rsid w:val="00BA5124"/>
    <w:rsid w:val="00BB0206"/>
    <w:rsid w:val="00BB0D9B"/>
    <w:rsid w:val="00BB37CA"/>
    <w:rsid w:val="00BB4A05"/>
    <w:rsid w:val="00BC655E"/>
    <w:rsid w:val="00BC7B67"/>
    <w:rsid w:val="00BD383D"/>
    <w:rsid w:val="00BD63EB"/>
    <w:rsid w:val="00BE4FE1"/>
    <w:rsid w:val="00BE5B90"/>
    <w:rsid w:val="00BE7925"/>
    <w:rsid w:val="00BF0617"/>
    <w:rsid w:val="00BF0E00"/>
    <w:rsid w:val="00BF0ED3"/>
    <w:rsid w:val="00BF1192"/>
    <w:rsid w:val="00BF2DA9"/>
    <w:rsid w:val="00C10BE7"/>
    <w:rsid w:val="00C125D1"/>
    <w:rsid w:val="00C16924"/>
    <w:rsid w:val="00C17C59"/>
    <w:rsid w:val="00C26173"/>
    <w:rsid w:val="00C3047C"/>
    <w:rsid w:val="00C32D72"/>
    <w:rsid w:val="00C364E1"/>
    <w:rsid w:val="00C37618"/>
    <w:rsid w:val="00C41C32"/>
    <w:rsid w:val="00C4405A"/>
    <w:rsid w:val="00C442FB"/>
    <w:rsid w:val="00C45390"/>
    <w:rsid w:val="00C5267A"/>
    <w:rsid w:val="00C6057A"/>
    <w:rsid w:val="00C610A2"/>
    <w:rsid w:val="00C61CAF"/>
    <w:rsid w:val="00C62BFB"/>
    <w:rsid w:val="00C67FE2"/>
    <w:rsid w:val="00C71DA7"/>
    <w:rsid w:val="00C72D09"/>
    <w:rsid w:val="00C72FF2"/>
    <w:rsid w:val="00C742D0"/>
    <w:rsid w:val="00C753BD"/>
    <w:rsid w:val="00C75AF6"/>
    <w:rsid w:val="00C85BDF"/>
    <w:rsid w:val="00C8677B"/>
    <w:rsid w:val="00C93421"/>
    <w:rsid w:val="00C94DA0"/>
    <w:rsid w:val="00CA6E04"/>
    <w:rsid w:val="00CB04A5"/>
    <w:rsid w:val="00CD7431"/>
    <w:rsid w:val="00CE276F"/>
    <w:rsid w:val="00CE4851"/>
    <w:rsid w:val="00CE764E"/>
    <w:rsid w:val="00CE7AD8"/>
    <w:rsid w:val="00CF71D5"/>
    <w:rsid w:val="00D00075"/>
    <w:rsid w:val="00D147F0"/>
    <w:rsid w:val="00D16082"/>
    <w:rsid w:val="00D16F7B"/>
    <w:rsid w:val="00D20A31"/>
    <w:rsid w:val="00D21737"/>
    <w:rsid w:val="00D23951"/>
    <w:rsid w:val="00D31CF6"/>
    <w:rsid w:val="00D3586B"/>
    <w:rsid w:val="00D35D78"/>
    <w:rsid w:val="00D41BF8"/>
    <w:rsid w:val="00D43DFE"/>
    <w:rsid w:val="00D478EF"/>
    <w:rsid w:val="00D5581A"/>
    <w:rsid w:val="00D55934"/>
    <w:rsid w:val="00D616DA"/>
    <w:rsid w:val="00D64B3B"/>
    <w:rsid w:val="00D721F5"/>
    <w:rsid w:val="00D72D74"/>
    <w:rsid w:val="00D73132"/>
    <w:rsid w:val="00D7605A"/>
    <w:rsid w:val="00D80ED7"/>
    <w:rsid w:val="00D81579"/>
    <w:rsid w:val="00D821BF"/>
    <w:rsid w:val="00D869B2"/>
    <w:rsid w:val="00D90634"/>
    <w:rsid w:val="00D90EF4"/>
    <w:rsid w:val="00D913F9"/>
    <w:rsid w:val="00D9672C"/>
    <w:rsid w:val="00DA0EE6"/>
    <w:rsid w:val="00DA216E"/>
    <w:rsid w:val="00DA5B5B"/>
    <w:rsid w:val="00DA6ED0"/>
    <w:rsid w:val="00DB0B5C"/>
    <w:rsid w:val="00DB1456"/>
    <w:rsid w:val="00DB493D"/>
    <w:rsid w:val="00DC07FF"/>
    <w:rsid w:val="00DC15A9"/>
    <w:rsid w:val="00DC5860"/>
    <w:rsid w:val="00DC5A34"/>
    <w:rsid w:val="00DD3CA4"/>
    <w:rsid w:val="00DD5851"/>
    <w:rsid w:val="00DE01D8"/>
    <w:rsid w:val="00DE7548"/>
    <w:rsid w:val="00DF6EAA"/>
    <w:rsid w:val="00E026C0"/>
    <w:rsid w:val="00E02ABF"/>
    <w:rsid w:val="00E04D15"/>
    <w:rsid w:val="00E06374"/>
    <w:rsid w:val="00E31707"/>
    <w:rsid w:val="00E43B24"/>
    <w:rsid w:val="00E4743F"/>
    <w:rsid w:val="00E5204E"/>
    <w:rsid w:val="00E5276B"/>
    <w:rsid w:val="00E547CA"/>
    <w:rsid w:val="00E552A4"/>
    <w:rsid w:val="00E60E50"/>
    <w:rsid w:val="00E6576F"/>
    <w:rsid w:val="00E705AB"/>
    <w:rsid w:val="00E7209A"/>
    <w:rsid w:val="00E77C5F"/>
    <w:rsid w:val="00E77E34"/>
    <w:rsid w:val="00E83914"/>
    <w:rsid w:val="00E92E0A"/>
    <w:rsid w:val="00EA570F"/>
    <w:rsid w:val="00EB4E64"/>
    <w:rsid w:val="00EC260C"/>
    <w:rsid w:val="00EC430D"/>
    <w:rsid w:val="00EC644D"/>
    <w:rsid w:val="00ED4F14"/>
    <w:rsid w:val="00EE1C30"/>
    <w:rsid w:val="00EF24DA"/>
    <w:rsid w:val="00EF43AB"/>
    <w:rsid w:val="00EF70FE"/>
    <w:rsid w:val="00F01FA3"/>
    <w:rsid w:val="00F04404"/>
    <w:rsid w:val="00F07B2B"/>
    <w:rsid w:val="00F13A83"/>
    <w:rsid w:val="00F14A33"/>
    <w:rsid w:val="00F21F3B"/>
    <w:rsid w:val="00F32940"/>
    <w:rsid w:val="00F34E95"/>
    <w:rsid w:val="00F50FBC"/>
    <w:rsid w:val="00F53616"/>
    <w:rsid w:val="00F53B4D"/>
    <w:rsid w:val="00F57676"/>
    <w:rsid w:val="00F57C07"/>
    <w:rsid w:val="00F610E4"/>
    <w:rsid w:val="00F61736"/>
    <w:rsid w:val="00F64F41"/>
    <w:rsid w:val="00F70EB5"/>
    <w:rsid w:val="00F723DF"/>
    <w:rsid w:val="00F73E4D"/>
    <w:rsid w:val="00F755A2"/>
    <w:rsid w:val="00F7720E"/>
    <w:rsid w:val="00F826D5"/>
    <w:rsid w:val="00F92671"/>
    <w:rsid w:val="00F95004"/>
    <w:rsid w:val="00FA1454"/>
    <w:rsid w:val="00FA3319"/>
    <w:rsid w:val="00FA6466"/>
    <w:rsid w:val="00FB6490"/>
    <w:rsid w:val="00FB6B50"/>
    <w:rsid w:val="00FC495E"/>
    <w:rsid w:val="00FE18B5"/>
    <w:rsid w:val="00FE1A21"/>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F728C"/>
  <w15:chartTrackingRefBased/>
  <w15:docId w15:val="{012585D9-5BA8-4889-A1F5-EDD34FD9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4039B3"/>
    <w:pPr>
      <w:spacing w:after="160" w:line="240" w:lineRule="exact"/>
      <w:jc w:val="both"/>
    </w:pPr>
    <w:rPr>
      <w:rFonts w:eastAsia="SimSun"/>
      <w:sz w:val="28"/>
      <w:szCs w:val="22"/>
    </w:rPr>
  </w:style>
  <w:style w:type="paragraph" w:styleId="Footer">
    <w:name w:val="footer"/>
    <w:basedOn w:val="Normal"/>
    <w:rsid w:val="006C2093"/>
    <w:pPr>
      <w:tabs>
        <w:tab w:val="center" w:pos="4320"/>
        <w:tab w:val="right" w:pos="8640"/>
      </w:tabs>
    </w:pPr>
  </w:style>
  <w:style w:type="character" w:styleId="PageNumber">
    <w:name w:val="page number"/>
    <w:basedOn w:val="DefaultParagraphFont"/>
    <w:rsid w:val="006C2093"/>
  </w:style>
  <w:style w:type="paragraph" w:styleId="Header">
    <w:name w:val="header"/>
    <w:basedOn w:val="Normal"/>
    <w:rsid w:val="006C2093"/>
    <w:pPr>
      <w:tabs>
        <w:tab w:val="center" w:pos="4320"/>
        <w:tab w:val="right" w:pos="8640"/>
      </w:tabs>
    </w:pPr>
  </w:style>
  <w:style w:type="paragraph" w:styleId="NormalWeb">
    <w:name w:val="Normal (Web)"/>
    <w:basedOn w:val="Normal"/>
    <w:uiPriority w:val="99"/>
    <w:rsid w:val="00DB0B5C"/>
    <w:pPr>
      <w:spacing w:before="100" w:beforeAutospacing="1" w:after="100" w:afterAutospacing="1"/>
    </w:pPr>
  </w:style>
  <w:style w:type="paragraph" w:customStyle="1" w:styleId="CharCharCharChar">
    <w:name w:val="Char Char Char Char"/>
    <w:basedOn w:val="Normal"/>
    <w:rsid w:val="006157AB"/>
    <w:rPr>
      <w:rFonts w:ascii="Arial" w:hAnsi="Arial" w:cs="Arial"/>
      <w:sz w:val="22"/>
      <w:szCs w:val="22"/>
      <w:lang w:val="en-AU"/>
    </w:rPr>
  </w:style>
  <w:style w:type="character" w:customStyle="1" w:styleId="noidunggioithieu1">
    <w:name w:val="noidunggioithieu1"/>
    <w:basedOn w:val="DefaultParagraphFont"/>
    <w:rsid w:val="005D6218"/>
  </w:style>
  <w:style w:type="character" w:styleId="Emphasis">
    <w:name w:val="Emphasis"/>
    <w:qFormat/>
    <w:rsid w:val="00904854"/>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qFormat/>
    <w:rsid w:val="00904854"/>
    <w:rPr>
      <w:rFonts w:ascii=".VnTime"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904854"/>
    <w:rPr>
      <w:rFonts w:ascii=".VnTime" w:hAnsi=".VnTime"/>
    </w:rPr>
  </w:style>
  <w:style w:type="character" w:styleId="FootnoteReference">
    <w:name w:val="footnote reference"/>
    <w:uiPriority w:val="99"/>
    <w:unhideWhenUsed/>
    <w:rsid w:val="00904854"/>
    <w:rPr>
      <w:vertAlign w:val="superscript"/>
    </w:rPr>
  </w:style>
  <w:style w:type="paragraph" w:styleId="BalloonText">
    <w:name w:val="Balloon Text"/>
    <w:basedOn w:val="Normal"/>
    <w:link w:val="BalloonTextChar"/>
    <w:rsid w:val="00006DEC"/>
    <w:rPr>
      <w:rFonts w:ascii="Segoe UI" w:hAnsi="Segoe UI" w:cs="Segoe UI"/>
      <w:sz w:val="18"/>
      <w:szCs w:val="18"/>
    </w:rPr>
  </w:style>
  <w:style w:type="character" w:customStyle="1" w:styleId="BalloonTextChar">
    <w:name w:val="Balloon Text Char"/>
    <w:link w:val="BalloonText"/>
    <w:rsid w:val="00006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2E24-2CF4-459D-A7A5-B416A783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itfriend.org</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Smart</dc:creator>
  <cp:keywords/>
  <cp:lastModifiedBy>pro003</cp:lastModifiedBy>
  <cp:revision>3</cp:revision>
  <cp:lastPrinted>2024-06-07T07:08:00Z</cp:lastPrinted>
  <dcterms:created xsi:type="dcterms:W3CDTF">2024-06-26T01:34:00Z</dcterms:created>
  <dcterms:modified xsi:type="dcterms:W3CDTF">2024-06-26T01:38:00Z</dcterms:modified>
</cp:coreProperties>
</file>